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2"/>
      <w:bookmarkStart w:id="3" w:name="OLE_LINK34"/>
      <w:bookmarkStart w:id="4" w:name="OLE_LINK33"/>
      <w:bookmarkStart w:id="5" w:name="OLE_LINK13"/>
      <w:r>
        <w:rPr>
          <w:rFonts w:hint="eastAsia" w:ascii="Arial" w:hAnsi="Arial" w:eastAsia="宋体"/>
          <w:b/>
          <w:lang w:eastAsia="ja-JP"/>
        </w:rPr>
        <w:t>3GPP TSG RAN WG1 #</w:t>
      </w:r>
      <w:r>
        <w:rPr>
          <w:rFonts w:hint="eastAsia" w:ascii="Arial" w:hAnsi="Arial" w:eastAsia="宋体"/>
          <w:b/>
        </w:rPr>
        <w:t xml:space="preserve">110 bis-e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208505</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October 10</w:t>
      </w:r>
      <w:r>
        <w:rPr>
          <w:rFonts w:hint="eastAsia" w:ascii="Arial" w:hAnsi="Arial"/>
          <w:b/>
          <w:vertAlign w:val="superscript"/>
        </w:rPr>
        <w:t>th</w:t>
      </w:r>
      <w:r>
        <w:rPr>
          <w:rFonts w:ascii="Arial" w:hAnsi="Arial"/>
          <w:b/>
          <w:lang w:eastAsia="ja-JP"/>
        </w:rPr>
        <w:t xml:space="preserve"> </w:t>
      </w:r>
      <w:r>
        <w:rPr>
          <w:rFonts w:ascii="Arial" w:hAnsi="Arial" w:cs="Arial"/>
          <w:b/>
          <w:lang w:eastAsia="ja-JP"/>
        </w:rPr>
        <w:t>–</w:t>
      </w:r>
      <w:r>
        <w:rPr>
          <w:rFonts w:hint="eastAsia" w:ascii="Arial" w:hAnsi="Arial" w:cs="Arial"/>
          <w:b/>
        </w:rPr>
        <w:t xml:space="preserve"> </w:t>
      </w:r>
      <w:r>
        <w:rPr>
          <w:rFonts w:hint="eastAsia" w:ascii="Arial" w:hAnsi="Arial"/>
          <w:b/>
        </w:rPr>
        <w:t>19</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22</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DMRS enhancement for UL/DL MU-MIMO and 8 Tx UL SU-MIMO</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180" w:afterLines="50" w:line="288" w:lineRule="auto"/>
        <w:jc w:val="both"/>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hAnsi="Times New Roman" w:eastAsia="宋体"/>
                <w:bCs/>
                <w:sz w:val="20"/>
                <w:szCs w:val="20"/>
                <w:lang w:eastAsia="en-GB"/>
              </w:rPr>
              <w:t>Up to 24 orthogonal DM-RS ports, where for each applicable DMRS type, the maximum number of orthogonal ports is doubled for both single- and double-symbol DMRS</w:t>
            </w:r>
          </w:p>
          <w:p>
            <w:pPr>
              <w:numPr>
                <w:ilvl w:val="0"/>
                <w:numId w:val="3"/>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p>
            <w:pPr>
              <w:overflowPunct w:val="0"/>
              <w:autoSpaceDE w:val="0"/>
              <w:autoSpaceDN w:val="0"/>
              <w:adjustRightInd w:val="0"/>
              <w:snapToGrid w:val="0"/>
              <w:spacing w:after="0" w:line="288" w:lineRule="auto"/>
              <w:jc w:val="both"/>
              <w:textAlignment w:val="baseline"/>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jc w:val="both"/>
      </w:pPr>
      <w:r>
        <w:rPr>
          <w:rFonts w:hint="eastAsia" w:ascii="Times New Roman" w:hAnsi="Times New Roman"/>
          <w:sz w:val="20"/>
          <w:szCs w:val="20"/>
        </w:rPr>
        <w:t xml:space="preserve">Due to the existing legacy UE(s), the backward compatibility should be fully considered for this enhancement on increasing the number of orthogonal DMRS ports, and then we need to modify the DMRS port/OCC mapping based on the legacy DMRS pattern(s). </w:t>
      </w:r>
      <w:bookmarkStart w:id="7" w:name="OLE_LINK15"/>
      <w:bookmarkStart w:id="8" w:name="OLE_LINK18"/>
      <w:bookmarkStart w:id="9" w:name="OLE_LINK21"/>
    </w:p>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Down selection on c</w:t>
      </w:r>
      <w:r>
        <w:rPr>
          <w:rFonts w:ascii="Times New Roman" w:hAnsi="Times New Roman"/>
          <w:b/>
          <w:bCs/>
          <w:sz w:val="24"/>
          <w:szCs w:val="24"/>
        </w:rPr>
        <w:t xml:space="preserve">andidate schemes for </w:t>
      </w:r>
      <w:r>
        <w:rPr>
          <w:rFonts w:hint="eastAsia" w:ascii="Times New Roman" w:hAnsi="Times New Roman"/>
          <w:b/>
          <w:bCs/>
          <w:sz w:val="24"/>
          <w:szCs w:val="24"/>
        </w:rPr>
        <w:t>larger number of orthogonal DMRS ports</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In current specification, for both type 1 and type 2 DMRS, FD-OCC with length 2 for one DMRS port is supported for both single</w:t>
      </w:r>
      <w:r>
        <w:rPr>
          <w:rFonts w:hint="eastAsia" w:ascii="Times New Roman" w:hAnsi="Times New Roman"/>
          <w:sz w:val="20"/>
          <w:szCs w:val="20"/>
        </w:rPr>
        <w:t>-</w:t>
      </w:r>
      <w:r>
        <w:rPr>
          <w:rFonts w:ascii="Times New Roman" w:hAnsi="Times New Roman"/>
          <w:sz w:val="20"/>
          <w:szCs w:val="20"/>
        </w:rPr>
        <w:t>symbol DMRS and double</w:t>
      </w:r>
      <w:r>
        <w:rPr>
          <w:rFonts w:hint="eastAsia" w:ascii="Times New Roman" w:hAnsi="Times New Roman"/>
          <w:sz w:val="20"/>
          <w:szCs w:val="20"/>
        </w:rPr>
        <w:t>-</w:t>
      </w:r>
      <w:r>
        <w:rPr>
          <w:rFonts w:ascii="Times New Roman" w:hAnsi="Times New Roman"/>
          <w:sz w:val="20"/>
          <w:szCs w:val="20"/>
        </w:rPr>
        <w:t>symbol DMRS. TD-OCC is supported for double symbol DMRS, and different CDM groups are FDMed in the frequency domain. Hence for the supporting of larger number of orthogonal DMRS ports for Rel-18, several multiplexing types can be taken into consideration.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RAN1#109 e-meeting</w:t>
      </w:r>
      <w:r>
        <w:rPr>
          <w:rFonts w:ascii="Times New Roman" w:hAnsi="Times New Roman"/>
          <w:sz w:val="20"/>
          <w:szCs w:val="20"/>
        </w:rPr>
        <w:t xml:space="preserve"> </w:t>
      </w:r>
      <w:r>
        <w:rPr>
          <w:rFonts w:hint="eastAsia" w:ascii="Times New Roman" w:hAnsi="Times New Roman"/>
          <w:sz w:val="20"/>
          <w:szCs w:val="20"/>
        </w:rPr>
        <w:t xml:space="preserve">[2], 5 options </w:t>
      </w:r>
      <w:r>
        <w:rPr>
          <w:rFonts w:ascii="Times New Roman" w:hAnsi="Times New Roman"/>
          <w:sz w:val="20"/>
          <w:szCs w:val="20"/>
        </w:rPr>
        <w:t>were</w:t>
      </w:r>
      <w:r>
        <w:rPr>
          <w:rFonts w:hint="eastAsia" w:ascii="Times New Roman" w:hAnsi="Times New Roman"/>
          <w:sz w:val="20"/>
          <w:szCs w:val="20"/>
        </w:rPr>
        <w:t xml:space="preserve"> listed to be considered as candidate solutions as follows, which may suitable for respective deployment scenarios in terms of UE speed (Doppler shift) and delay spread.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jc w:val="both"/>
              <w:rPr>
                <w:rFonts w:ascii="Times New Roman" w:hAnsi="Times New Roman"/>
                <w:color w:val="000000"/>
                <w:sz w:val="20"/>
                <w:szCs w:val="20"/>
                <w:u w:val="single"/>
              </w:rPr>
            </w:pPr>
            <w:r>
              <w:rPr>
                <w:rFonts w:ascii="Times New Roman" w:hAnsi="Times New Roman"/>
                <w:b/>
                <w:color w:val="000000"/>
                <w:sz w:val="20"/>
                <w:szCs w:val="20"/>
                <w:u w:val="single"/>
              </w:rPr>
              <w:t>Agreement</w:t>
            </w:r>
          </w:p>
          <w:p>
            <w:pPr>
              <w:shd w:val="clear" w:color="auto" w:fill="FFFFFF"/>
              <w:spacing w:after="0" w:line="288" w:lineRule="auto"/>
              <w:rPr>
                <w:rFonts w:ascii="Times New Roman" w:hAnsi="Times New Roman" w:eastAsia="宋体"/>
                <w:color w:val="000000"/>
                <w:sz w:val="20"/>
                <w:szCs w:val="20"/>
              </w:rPr>
            </w:pPr>
            <w:r>
              <w:rPr>
                <w:rFonts w:ascii="Times New Roman" w:hAnsi="Times New Roman" w:eastAsia="Times New Roman"/>
                <w:bCs/>
                <w:color w:val="000000"/>
                <w:sz w:val="20"/>
                <w:szCs w:val="20"/>
                <w:shd w:val="clear" w:color="auto" w:fill="FFFFFF"/>
              </w:rPr>
              <w:t>To increase the number of DMRS ports for PDSCH/PUSCH, evaluate and, if needed, specify one or more from the following options:</w:t>
            </w:r>
            <w:r>
              <w:rPr>
                <w:rFonts w:ascii="Times New Roman" w:hAnsi="Times New Roman" w:eastAsia="Times New Roman"/>
                <w:bCs/>
                <w:color w:val="000000"/>
                <w:sz w:val="20"/>
                <w:szCs w:val="20"/>
                <w:shd w:val="clear" w:color="auto" w:fill="FFFFFF"/>
                <w:lang w:eastAsia="ja-JP"/>
              </w:rPr>
              <w:t>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Opt.1 (enhance FD-OCC): Introduce larger FD-OCC length than Rel.15 (e.g. 4 or 6).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large delay spread, potential scheduling restriction,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Opt.2 (enhance TD-OCC): Utilize TD-OCC over non-contiguous DMRS symbols (e.g. TD-OCC across front/additional DMRS symbols)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Opt.3 (Sparser frequency allocation): increase the number of CDM groups (e.g. larger number of comb/FDM).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large delay spread,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Opt.4 (using TDMed DMRS symbol): reusing additional DMRS symbols to increase orthogonal DMRS ports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Opt.5 TD-OCC over non-contiguous DMRS symbols combined with FD-OCC or FDM: reusing additional DMRS symbol(s) to improve channel estimation performance.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sz w:val="20"/>
                <w:szCs w:val="20"/>
              </w:rPr>
            </w:pPr>
            <w:r>
              <w:rPr>
                <w:rFonts w:ascii="Times New Roman" w:hAnsi="Times New Roman" w:eastAsia="Times New Roman"/>
                <w:bCs/>
                <w:color w:val="000000"/>
                <w:sz w:val="20"/>
                <w:szCs w:val="20"/>
                <w:lang w:eastAsia="ja-JP"/>
              </w:rPr>
              <w:t>The same option can be applied to both single symbol DMRS and double symbol DMRS.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 meeting</w:t>
      </w:r>
      <w:r>
        <w:rPr>
          <w:rFonts w:ascii="Times New Roman" w:hAnsi="Times New Roman"/>
          <w:sz w:val="20"/>
          <w:szCs w:val="20"/>
        </w:rPr>
        <w:t xml:space="preserve"> </w:t>
      </w:r>
      <w:r>
        <w:rPr>
          <w:rFonts w:hint="eastAsia" w:ascii="Times New Roman" w:hAnsi="Times New Roman"/>
          <w:sz w:val="20"/>
          <w:szCs w:val="20"/>
        </w:rPr>
        <w:t>[3], the candidate scheme for larger number of orthogonal DMRS ports is agreed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Working Assumption</w:t>
            </w:r>
            <w:r>
              <w:rPr>
                <w:rFonts w:hint="eastAsia" w:ascii="Times New Roman" w:hAnsi="Times New Roman"/>
                <w:b/>
                <w:color w:val="000000"/>
                <w:sz w:val="20"/>
                <w:szCs w:val="20"/>
                <w:u w:val="single"/>
              </w:rPr>
              <w: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To increase the number of DMRS ports for PDSCH/PUSCH, support at least Opt.1 (introduce larger FD-OCC length than Rel.15 (e.g. 4 or 6)).</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FFS: FD-OCC length for Rel.18 DMRS type 1 and type 2.</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ja-JP"/>
              </w:rPr>
              <w:t>FFS: Whether it is needed to handle potential performance issues of Opt 1. For example, study if there is performance loss in case of large delay spread scenario. If needed, how (e.g. additionally support other options).</w:t>
            </w:r>
          </w:p>
          <w:p>
            <w:pPr>
              <w:shd w:val="clear" w:color="auto" w:fill="FFFFFF"/>
              <w:spacing w:after="0"/>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enhanced FD-OCC length for DMRS of PDSCH/PUSCH, support the following FD-OCC length:</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Rel.18 DMRS type 1, down select from the following in RAN1#110bis-e:</w:t>
            </w:r>
          </w:p>
          <w:p>
            <w:pPr>
              <w:pStyle w:val="99"/>
              <w:numPr>
                <w:ilvl w:val="1"/>
                <w:numId w:val="7"/>
              </w:numPr>
              <w:spacing w:after="0" w:line="288" w:lineRule="auto"/>
              <w:ind w:firstLine="400"/>
              <w:jc w:val="both"/>
              <w:rPr>
                <w:rFonts w:ascii="Times New Roman" w:hAnsi="Times New Roman" w:eastAsia="Malgun Gothic"/>
                <w:sz w:val="20"/>
                <w:szCs w:val="20"/>
                <w:lang w:eastAsia="ja-JP"/>
              </w:rPr>
            </w:pPr>
            <w:r>
              <w:rPr>
                <w:rFonts w:ascii="Times New Roman" w:hAnsi="Times New Roman" w:eastAsia="Malgun Gothic"/>
                <w:sz w:val="20"/>
                <w:szCs w:val="20"/>
                <w:lang w:eastAsia="ja-JP"/>
              </w:rPr>
              <w:t>Opt.1-1: Length 6 FD-OCC is applied to 6 REs of DMRS within a PRB within an CDM group</w:t>
            </w:r>
          </w:p>
          <w:p>
            <w:pPr>
              <w:pStyle w:val="99"/>
              <w:numPr>
                <w:ilvl w:val="1"/>
                <w:numId w:val="7"/>
              </w:numPr>
              <w:spacing w:after="0" w:line="288" w:lineRule="auto"/>
              <w:ind w:firstLine="400"/>
              <w:jc w:val="both"/>
              <w:rPr>
                <w:rFonts w:ascii="Times New Roman" w:hAnsi="Times New Roman" w:eastAsia="Malgun Gothic"/>
                <w:sz w:val="20"/>
                <w:szCs w:val="20"/>
                <w:lang w:eastAsia="ja-JP"/>
              </w:rPr>
            </w:pPr>
            <w:r>
              <w:rPr>
                <w:rFonts w:ascii="Times New Roman" w:hAnsi="Times New Roman" w:eastAsia="Malgun Gothic"/>
                <w:sz w:val="20"/>
                <w:szCs w:val="20"/>
                <w:lang w:eastAsia="ja-JP"/>
              </w:rPr>
              <w:t>Opt.1-2: Length 4 FD-OCC is applied to 4 REs of DMRS within a PRB or across consecutive PRBs within an CDM group</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Rel.18 DMRS type 2:</w:t>
            </w:r>
          </w:p>
          <w:p>
            <w:pPr>
              <w:pStyle w:val="99"/>
              <w:numPr>
                <w:ilvl w:val="1"/>
                <w:numId w:val="7"/>
              </w:numPr>
              <w:spacing w:after="0" w:line="288" w:lineRule="auto"/>
              <w:ind w:firstLine="400"/>
              <w:jc w:val="both"/>
              <w:rPr>
                <w:rFonts w:ascii="Times New Roman" w:hAnsi="Times New Roman" w:eastAsia="Malgun Gothic"/>
                <w:sz w:val="20"/>
                <w:szCs w:val="20"/>
                <w:lang w:eastAsia="ja-JP"/>
              </w:rPr>
            </w:pPr>
            <w:r>
              <w:rPr>
                <w:rFonts w:ascii="Times New Roman" w:hAnsi="Times New Roman" w:eastAsia="Malgun Gothic"/>
                <w:sz w:val="20"/>
                <w:szCs w:val="20"/>
                <w:lang w:eastAsia="ja-JP"/>
              </w:rPr>
              <w:t>Length 4 FD-OCC is applied to 4 REs of DMRS within a PRB within an CDM group</w:t>
            </w:r>
          </w:p>
          <w:p>
            <w:pPr>
              <w:pStyle w:val="99"/>
              <w:numPr>
                <w:ilvl w:val="1"/>
                <w:numId w:val="7"/>
              </w:numPr>
              <w:spacing w:after="0" w:line="288" w:lineRule="auto"/>
              <w:ind w:firstLine="400"/>
              <w:jc w:val="both"/>
              <w:rPr>
                <w:rFonts w:ascii="Times New Roman" w:hAnsi="Times New Roman"/>
                <w:sz w:val="20"/>
                <w:szCs w:val="20"/>
              </w:rPr>
            </w:pPr>
            <w:r>
              <w:rPr>
                <w:rFonts w:ascii="Times New Roman" w:hAnsi="Times New Roman" w:eastAsia="Malgun Gothic"/>
                <w:sz w:val="20"/>
                <w:szCs w:val="20"/>
                <w:lang w:eastAsia="ja-JP"/>
              </w:rPr>
              <w:t>FFS: Support of length 6 FD-OCC</w:t>
            </w:r>
          </w:p>
        </w:tc>
      </w:tr>
    </w:tbl>
    <w:p>
      <w:pPr>
        <w:snapToGrid w:val="0"/>
        <w:spacing w:before="180" w:beforeLines="50" w:after="180" w:afterLines="50" w:line="288" w:lineRule="auto"/>
        <w:jc w:val="both"/>
        <w:rPr>
          <w:rFonts w:ascii="Times New Roman" w:hAnsi="Times New Roman"/>
          <w:sz w:val="20"/>
          <w:szCs w:val="20"/>
        </w:rPr>
      </w:pPr>
      <w:bookmarkStart w:id="10" w:name="OLE_LINK5"/>
      <w:r>
        <w:rPr>
          <w:rFonts w:hint="eastAsia" w:ascii="Times New Roman" w:hAnsi="Times New Roman"/>
          <w:sz w:val="20"/>
          <w:szCs w:val="20"/>
        </w:rPr>
        <w:t>According to our previous simulation results and analysis in [4], it can be found that FD-OCC of length 4 performs better than FDM and TD-OCC based transmission in the scenario of low delay spread and high UE speed. Besides, FD-OCC can be supported for increasing the number of orthogonal DMRS ports without introducing too much impact on the co-existence with legacy DMRS.</w:t>
      </w:r>
    </w:p>
    <w:p>
      <w:pPr>
        <w:snapToGrid w:val="0"/>
        <w:spacing w:before="180" w:beforeLines="50" w:after="180" w:afterLines="50" w:line="288" w:lineRule="auto"/>
        <w:jc w:val="both"/>
        <w:rPr>
          <w:rFonts w:ascii="Times New Roman" w:hAnsi="Times New Roman"/>
          <w:bCs/>
          <w:i/>
          <w:sz w:val="20"/>
          <w:szCs w:val="20"/>
        </w:rPr>
      </w:pPr>
      <w:r>
        <w:rPr>
          <w:rFonts w:hint="eastAsia" w:ascii="Times New Roman" w:hAnsi="Times New Roman"/>
          <w:b/>
          <w:i/>
          <w:sz w:val="20"/>
          <w:szCs w:val="20"/>
        </w:rPr>
        <w:t>Proposal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Confirm the working assumption in RAN1#110 meeting, at least Opt.1 should be supported.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FD-OCC length, the unified design of DMRS type 1 and type 2 should be reached to fulfill the design. Note that at most 6 REs in one CDM group in one PRB can be used for DMRS type 1 and 4 REs in one CDM group in one PRB can be used for DMRS type 2, length 4 FD-OCC can be used for both DMRS type 1 and type 2. On the other hand, as per the simulation results shown in Figure 1, length 4 FD-OCC could outperform over length 6 FD-OCC. In the light of the above, FD-OCC with length 4 is preferred.</w:t>
      </w:r>
    </w:p>
    <w:p>
      <w:pPr>
        <w:snapToGrid w:val="0"/>
        <w:spacing w:before="10" w:after="10" w:line="288" w:lineRule="auto"/>
        <w:jc w:val="center"/>
      </w:pPr>
      <w:r>
        <w:drawing>
          <wp:inline distT="0" distB="0" distL="114300" distR="114300">
            <wp:extent cx="4360545" cy="2325370"/>
            <wp:effectExtent l="0" t="0" r="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60545" cy="2325370"/>
                    </a:xfrm>
                    <a:prstGeom prst="rect">
                      <a:avLst/>
                    </a:prstGeom>
                    <a:noFill/>
                    <a:ln>
                      <a:noFill/>
                    </a:ln>
                  </pic:spPr>
                </pic:pic>
              </a:graphicData>
            </a:graphic>
          </wp:inline>
        </w:drawing>
      </w:r>
    </w:p>
    <w:p>
      <w:pPr>
        <w:snapToGrid w:val="0"/>
        <w:spacing w:before="10" w:after="10" w:line="288" w:lineRule="auto"/>
        <w:jc w:val="center"/>
        <w:rPr>
          <w:rFonts w:ascii="Times New Roman" w:hAnsi="Times New Roman"/>
          <w:sz w:val="20"/>
          <w:szCs w:val="20"/>
        </w:rPr>
      </w:pPr>
      <w:r>
        <w:rPr>
          <w:rFonts w:ascii="Times New Roman" w:hAnsi="Times New Roman"/>
          <w:b/>
          <w:bCs/>
          <w:sz w:val="20"/>
          <w:szCs w:val="20"/>
        </w:rPr>
        <w:t>Figure 1</w:t>
      </w:r>
      <w:r>
        <w:rPr>
          <w:rFonts w:hint="eastAsia" w:ascii="Times New Roman" w:hAnsi="Times New Roman"/>
          <w:sz w:val="20"/>
          <w:szCs w:val="20"/>
        </w:rPr>
        <w:t xml:space="preserve"> Performance comparison of different schemes of frequency domain multiplexing</w:t>
      </w:r>
    </w:p>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In particular, orphan REs in case of length 4 FD-OCC for DMRS type 1 should be further studied, where two methods can be considered:</w:t>
      </w:r>
    </w:p>
    <w:p>
      <w:pPr>
        <w:numPr>
          <w:ilvl w:val="255"/>
          <w:numId w:val="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Method 1: PRB bundling between two </w:t>
      </w:r>
      <w:r>
        <w:rPr>
          <w:rFonts w:ascii="Times New Roman" w:hAnsi="Times New Roman"/>
          <w:sz w:val="20"/>
          <w:szCs w:val="20"/>
        </w:rPr>
        <w:t>consecutive</w:t>
      </w:r>
      <w:r>
        <w:rPr>
          <w:rFonts w:hint="eastAsia" w:ascii="Times New Roman" w:hAnsi="Times New Roman"/>
          <w:sz w:val="20"/>
          <w:szCs w:val="20"/>
        </w:rPr>
        <w:t xml:space="preserve"> PRBs, i.e. FD-OCC with length 4 can be used across two </w:t>
      </w:r>
      <w:r>
        <w:rPr>
          <w:rFonts w:ascii="Times New Roman" w:hAnsi="Times New Roman"/>
          <w:sz w:val="20"/>
          <w:szCs w:val="20"/>
        </w:rPr>
        <w:t>consecutive</w:t>
      </w:r>
      <w:r>
        <w:rPr>
          <w:rFonts w:hint="eastAsia" w:ascii="Times New Roman" w:hAnsi="Times New Roman"/>
          <w:sz w:val="20"/>
          <w:szCs w:val="20"/>
        </w:rPr>
        <w:t xml:space="preserve"> PRBs.</w:t>
      </w:r>
    </w:p>
    <w:p>
      <w:pPr>
        <w:numPr>
          <w:ilvl w:val="0"/>
          <w:numId w:val="8"/>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If 2 PRBs are bundled for Rel-18 DMRS ports, then up to 12 REs can be used for one CDM group with 3 times mapping of FD-OCC of length 4. If legacy DMRS ports and Rel-18 DMRS ports are co-scheduled in one CDM group, to keep the orthogonality of the DMRS ports with different FD-OCC, Rel-18 DMRS ports should be scheduled with some restrictions, e.g</w:t>
      </w:r>
      <w:r>
        <w:rPr>
          <w:rFonts w:ascii="Times New Roman" w:hAnsi="Times New Roman"/>
          <w:sz w:val="20"/>
          <w:szCs w:val="20"/>
        </w:rPr>
        <w:t>.,</w:t>
      </w:r>
      <w:r>
        <w:rPr>
          <w:rFonts w:hint="eastAsia" w:ascii="Times New Roman" w:hAnsi="Times New Roman"/>
          <w:sz w:val="20"/>
          <w:szCs w:val="20"/>
        </w:rPr>
        <w:t xml:space="preserve"> if legacy DMRS port is scheduled with OCC of [1,1], the co-scheduled Rel-18 DMRS ports should be associated with OCC of [1,</w:t>
      </w:r>
      <w:r>
        <w:rPr>
          <w:rFonts w:ascii="Times New Roman" w:hAnsi="Times New Roman"/>
          <w:sz w:val="20"/>
          <w:szCs w:val="20"/>
        </w:rPr>
        <w:t xml:space="preserve"> </w:t>
      </w:r>
      <w:r>
        <w:rPr>
          <w:rFonts w:hint="eastAsia" w:ascii="Times New Roman" w:hAnsi="Times New Roman"/>
          <w:sz w:val="20"/>
          <w:szCs w:val="20"/>
        </w:rPr>
        <w:t>-1,1,-1] or [1,-1,-1,1].</w:t>
      </w:r>
    </w:p>
    <w:p>
      <w:pPr>
        <w:numPr>
          <w:ilvl w:val="0"/>
          <w:numId w:val="9"/>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Considering PRB bundling, two consecutive PRBs are used for DMRS port mapping and channel estimation. In order to adopt PRB bundling for enhanced DMRS ports, one key factor is whether the number of scheduled PRBs in one PRG is even or odd. To apply FD-OCC with length 4 for PRB bundling, one simple way is to restrict the number of scheduled PRB to be even. </w:t>
      </w:r>
    </w:p>
    <w:p>
      <w:pPr>
        <w:numPr>
          <w:ilvl w:val="0"/>
          <w:numId w:val="1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frequency domain resource allocation type 0, the number of scheduled PRBs in one PRG is even, then no </w:t>
      </w:r>
      <w:r>
        <w:rPr>
          <w:rFonts w:ascii="Times New Roman" w:hAnsi="Times New Roman"/>
          <w:sz w:val="20"/>
          <w:szCs w:val="20"/>
        </w:rPr>
        <w:t>further</w:t>
      </w:r>
      <w:r>
        <w:rPr>
          <w:rFonts w:hint="eastAsia" w:ascii="Times New Roman" w:hAnsi="Times New Roman"/>
          <w:sz w:val="20"/>
          <w:szCs w:val="20"/>
        </w:rPr>
        <w:t xml:space="preserve"> effort is needed to apply FD-OCC of length 4 on these PRBs. However, for frequency domain resource allocation type 1, the number of scheduled PRBs could be odd, one method is to make restriction on the number of bundling PRBs to be even. Another way is to handle the orphan REs and without any restriction on scheduling PRBs. For instance, if the number of PRB in one PRG is odd, the PRB bundling can still be used for DMRS mapping and demodulation except for the last PRB. In this way, the FD-OCC of length 4 can be used for the 6 REs, where the first 4 REs are used for mapping DMRS and the last two REs are not used for DMRS mapping.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Method 2: The DMRS ports should be mapped within one PRB, e.g. two channel estimation windows are used within the one PRB. For channel estimation window 1, channel estimation is based on REs #0,2,4,6, and for channel estimation window 2, channel estimation is based on REs #4,6,8,10. The channel on the REs#4,6 should be for the channel estimation window 1 and window 2 and the channel on the two REs can be the average estimation results of the two channel estimation windows.</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Based on the simulation results in Figure 1, it proves that even without mapping DMRS ports in the last two REs, it could outperform over the method enabling 2 CE windows. Besides, it should be noticed that the processing of 2 CE windows will increase the complexity of receiver implementation additionally.</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b/>
          <w:i/>
          <w:sz w:val="20"/>
          <w:szCs w:val="20"/>
        </w:rPr>
        <w:t>Observation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iCs/>
          <w:sz w:val="20"/>
          <w:szCs w:val="20"/>
        </w:rPr>
        <w:t>For DMRS type 1, DMRS with PRB bundling without mapping the last two REs in the last PRBs performs a little better than two CE windows when the number of scheduled DMRS port in one PRG is odd.</w:t>
      </w:r>
    </w:p>
    <w:bookmarkEnd w:id="10"/>
    <w:p>
      <w:pPr>
        <w:snapToGrid w:val="0"/>
        <w:spacing w:before="10" w:after="10" w:line="288" w:lineRule="auto"/>
        <w:jc w:val="both"/>
        <w:rPr>
          <w:rFonts w:ascii="Times New Roman" w:hAnsi="Times New Roman"/>
          <w:i/>
          <w:sz w:val="20"/>
          <w:szCs w:val="20"/>
        </w:rPr>
      </w:pPr>
      <w:bookmarkStart w:id="11" w:name="OLE_LINK7"/>
      <w:bookmarkStart w:id="12" w:name="OLE_LINK2"/>
      <w:r>
        <w:rPr>
          <w:rFonts w:hint="eastAsia" w:ascii="Times New Roman" w:hAnsi="Times New Roman"/>
          <w:b/>
          <w:i/>
          <w:sz w:val="20"/>
          <w:szCs w:val="20"/>
        </w:rPr>
        <w:t>Proposal 2</w:t>
      </w:r>
      <w:r>
        <w:rPr>
          <w:rFonts w:ascii="Times New Roman" w:hAnsi="Times New Roman"/>
          <w:b/>
          <w:i/>
          <w:sz w:val="20"/>
          <w:szCs w:val="20"/>
        </w:rPr>
        <w:t xml:space="preserve">: </w:t>
      </w:r>
      <w:r>
        <w:rPr>
          <w:rFonts w:ascii="Times New Roman" w:hAnsi="Times New Roman"/>
          <w:bCs/>
          <w:i/>
          <w:sz w:val="20"/>
          <w:szCs w:val="20"/>
        </w:rPr>
        <w:t>S</w:t>
      </w:r>
      <w:r>
        <w:rPr>
          <w:rFonts w:hint="eastAsia" w:ascii="Times New Roman" w:hAnsi="Times New Roman"/>
          <w:bCs/>
          <w:i/>
          <w:sz w:val="20"/>
          <w:szCs w:val="20"/>
        </w:rPr>
        <w:t xml:space="preserve">upport Opt.1-2, i.e. FD-OCC with length 4, where </w:t>
      </w:r>
      <w:r>
        <w:rPr>
          <w:rFonts w:hint="eastAsia" w:ascii="Times New Roman" w:hAnsi="Times New Roman"/>
          <w:i/>
          <w:sz w:val="20"/>
          <w:szCs w:val="20"/>
        </w:rPr>
        <w:t>PRB bundling should be supported for type-1 DMRS.</w:t>
      </w:r>
    </w:p>
    <w:p>
      <w:pPr>
        <w:numPr>
          <w:ilvl w:val="0"/>
          <w:numId w:val="11"/>
        </w:numPr>
        <w:snapToGrid w:val="0"/>
        <w:spacing w:before="10" w:after="10" w:line="288" w:lineRule="auto"/>
        <w:jc w:val="both"/>
        <w:rPr>
          <w:rFonts w:ascii="Times New Roman" w:hAnsi="Times New Roman"/>
          <w:sz w:val="20"/>
          <w:szCs w:val="20"/>
        </w:rPr>
      </w:pPr>
      <w:bookmarkStart w:id="13" w:name="OLE_LINK8"/>
      <w:r>
        <w:rPr>
          <w:rFonts w:hint="eastAsia" w:ascii="Times New Roman" w:hAnsi="Times New Roman"/>
          <w:i/>
          <w:sz w:val="20"/>
          <w:szCs w:val="20"/>
        </w:rPr>
        <w:t xml:space="preserve">For orphan REs in case of </w:t>
      </w:r>
      <w:r>
        <w:rPr>
          <w:rFonts w:hint="eastAsia" w:ascii="Times New Roman" w:hAnsi="Times New Roman"/>
          <w:bCs/>
          <w:i/>
          <w:iCs/>
          <w:sz w:val="20"/>
          <w:szCs w:val="20"/>
        </w:rPr>
        <w:t xml:space="preserve">length 4 FD-OCC for DMRS type 1, </w:t>
      </w:r>
      <w:r>
        <w:rPr>
          <w:rFonts w:hint="eastAsia" w:ascii="Times New Roman" w:hAnsi="Times New Roman"/>
          <w:i/>
          <w:sz w:val="20"/>
          <w:szCs w:val="20"/>
        </w:rPr>
        <w:t>d</w:t>
      </w:r>
      <w:r>
        <w:rPr>
          <w:rFonts w:ascii="Times New Roman" w:hAnsi="Times New Roman"/>
          <w:i/>
          <w:sz w:val="20"/>
          <w:szCs w:val="20"/>
        </w:rPr>
        <w:t>own</w:t>
      </w:r>
      <w:r>
        <w:rPr>
          <w:rFonts w:hint="eastAsia" w:ascii="Times New Roman" w:hAnsi="Times New Roman"/>
          <w:i/>
          <w:sz w:val="20"/>
          <w:szCs w:val="20"/>
        </w:rPr>
        <w:t>-</w:t>
      </w:r>
      <w:r>
        <w:rPr>
          <w:rFonts w:ascii="Times New Roman" w:hAnsi="Times New Roman"/>
          <w:i/>
          <w:sz w:val="20"/>
          <w:szCs w:val="20"/>
        </w:rPr>
        <w:t>select</w:t>
      </w:r>
      <w:r>
        <w:rPr>
          <w:rFonts w:hint="eastAsia" w:ascii="Times New Roman" w:hAnsi="Times New Roman"/>
          <w:i/>
          <w:sz w:val="20"/>
          <w:szCs w:val="20"/>
        </w:rPr>
        <w:t>ing</w:t>
      </w:r>
      <w:r>
        <w:rPr>
          <w:rFonts w:ascii="Times New Roman" w:hAnsi="Times New Roman"/>
          <w:i/>
          <w:sz w:val="20"/>
          <w:szCs w:val="20"/>
        </w:rPr>
        <w:t xml:space="preserve"> one of </w:t>
      </w:r>
      <w:r>
        <w:rPr>
          <w:rFonts w:hint="eastAsia" w:ascii="Times New Roman" w:hAnsi="Times New Roman"/>
          <w:i/>
          <w:sz w:val="20"/>
          <w:szCs w:val="20"/>
        </w:rPr>
        <w:t>the following alternatives:</w:t>
      </w:r>
    </w:p>
    <w:p>
      <w:pPr>
        <w:numPr>
          <w:ilvl w:val="1"/>
          <w:numId w:val="11"/>
        </w:numPr>
        <w:tabs>
          <w:tab w:val="left" w:pos="420"/>
          <w:tab w:val="clear" w:pos="840"/>
        </w:tabs>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Alt 1:</w:t>
      </w:r>
      <w:r>
        <w:rPr>
          <w:rFonts w:ascii="Times New Roman" w:hAnsi="Times New Roman"/>
          <w:i/>
          <w:sz w:val="20"/>
          <w:szCs w:val="20"/>
        </w:rPr>
        <w:t xml:space="preserve"> R</w:t>
      </w:r>
      <w:r>
        <w:rPr>
          <w:rFonts w:hint="eastAsia" w:ascii="Times New Roman" w:hAnsi="Times New Roman"/>
          <w:i/>
          <w:sz w:val="20"/>
          <w:szCs w:val="20"/>
        </w:rPr>
        <w:t>estrict the scheduled number of PRBs in one PRG to be even;</w:t>
      </w:r>
    </w:p>
    <w:p>
      <w:pPr>
        <w:numPr>
          <w:ilvl w:val="1"/>
          <w:numId w:val="11"/>
        </w:numPr>
        <w:tabs>
          <w:tab w:val="left" w:pos="420"/>
          <w:tab w:val="clear" w:pos="840"/>
        </w:tabs>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Alt 2:</w:t>
      </w:r>
      <w:r>
        <w:rPr>
          <w:rFonts w:ascii="Times New Roman" w:hAnsi="Times New Roman"/>
          <w:i/>
          <w:sz w:val="20"/>
          <w:szCs w:val="20"/>
        </w:rPr>
        <w:t xml:space="preserve"> T</w:t>
      </w:r>
      <w:r>
        <w:rPr>
          <w:rFonts w:hint="eastAsia" w:ascii="Times New Roman" w:hAnsi="Times New Roman"/>
          <w:i/>
          <w:sz w:val="20"/>
          <w:szCs w:val="20"/>
        </w:rPr>
        <w:t>he last two REs of the last PRB are not used for DMRS mapping if the scheduled number of PRB in one PRG is odd.</w:t>
      </w:r>
      <w:r>
        <w:rPr>
          <w:rFonts w:ascii="Times New Roman" w:hAnsi="Times New Roman"/>
          <w:i/>
          <w:sz w:val="20"/>
          <w:szCs w:val="20"/>
        </w:rPr>
        <w:t xml:space="preserve"> </w:t>
      </w:r>
    </w:p>
    <w:bookmarkEnd w:id="11"/>
    <w:bookmarkEnd w:id="13"/>
    <w:p>
      <w:pPr>
        <w:snapToGrid w:val="0"/>
        <w:spacing w:before="180" w:beforeLines="50" w:after="180" w:afterLines="50" w:line="288" w:lineRule="auto"/>
        <w:jc w:val="both"/>
      </w:pPr>
      <w:r>
        <w:rPr>
          <w:rFonts w:hint="eastAsia" w:ascii="Times New Roman" w:hAnsi="Times New Roman"/>
          <w:sz w:val="20"/>
          <w:szCs w:val="20"/>
        </w:rPr>
        <w:t xml:space="preserve">In the last meeting, one issue is how to support increased DMRS ports in the scenario of large delay spread if performance loss caused by FD-OCC. Technically, due to the sparser frequency domain of FD-OCC length M (M &gt; 2), it is intuitive that FD-OCC based increased DMRS ports cannot be workable in the scenario of large delay spread. By comparison, TD-OCC </w:t>
      </w:r>
      <w:r>
        <w:rPr>
          <w:rFonts w:ascii="Times New Roman" w:hAnsi="Times New Roman"/>
          <w:sz w:val="20"/>
          <w:szCs w:val="20"/>
        </w:rPr>
        <w:t xml:space="preserve">enables </w:t>
      </w:r>
      <w:r>
        <w:rPr>
          <w:rFonts w:hint="eastAsia" w:ascii="Times New Roman" w:hAnsi="Times New Roman"/>
          <w:sz w:val="20"/>
          <w:szCs w:val="20"/>
        </w:rPr>
        <w:t xml:space="preserve">increased </w:t>
      </w:r>
      <w:r>
        <w:rPr>
          <w:rFonts w:ascii="Times New Roman" w:hAnsi="Times New Roman"/>
          <w:sz w:val="20"/>
          <w:szCs w:val="20"/>
        </w:rPr>
        <w:t xml:space="preserve">DMRS ports </w:t>
      </w:r>
      <w:r>
        <w:rPr>
          <w:rFonts w:hint="eastAsia" w:ascii="Times New Roman" w:hAnsi="Times New Roman"/>
          <w:sz w:val="20"/>
          <w:szCs w:val="20"/>
        </w:rPr>
        <w:t>by</w:t>
      </w:r>
      <w:r>
        <w:rPr>
          <w:rFonts w:ascii="Times New Roman" w:hAnsi="Times New Roman"/>
          <w:sz w:val="20"/>
          <w:szCs w:val="20"/>
        </w:rPr>
        <w:t xml:space="preserve"> different OFDM symbols</w:t>
      </w:r>
      <w:r>
        <w:rPr>
          <w:rFonts w:hint="eastAsia" w:ascii="Times New Roman" w:hAnsi="Times New Roman"/>
          <w:sz w:val="20"/>
          <w:szCs w:val="20"/>
        </w:rPr>
        <w:t xml:space="preserve"> and will not cause frequency domain sparser, it is applicable to high delay spread scenario. As per the simulation results in Figure 2, it proves that FD-OCC cannot be workable in the scenario of large delay spread, but TD-OCC could still guarantee BLER performance in this case. And w</w:t>
      </w:r>
      <w:r>
        <w:rPr>
          <w:rFonts w:ascii="Times New Roman" w:hAnsi="Times New Roman"/>
          <w:bCs/>
          <w:sz w:val="20"/>
          <w:szCs w:val="20"/>
        </w:rPr>
        <w:t>ith the increase of delay spread</w:t>
      </w:r>
      <w:r>
        <w:rPr>
          <w:rFonts w:hint="eastAsia" w:ascii="Times New Roman" w:hAnsi="Times New Roman"/>
          <w:bCs/>
          <w:sz w:val="20"/>
          <w:szCs w:val="20"/>
        </w:rPr>
        <w:t xml:space="preserve">, </w:t>
      </w:r>
      <w:r>
        <w:rPr>
          <w:rFonts w:ascii="Times New Roman" w:hAnsi="Times New Roman"/>
          <w:bCs/>
          <w:sz w:val="20"/>
          <w:szCs w:val="20"/>
        </w:rPr>
        <w:t xml:space="preserve">TD-OCC performs </w:t>
      </w:r>
      <w:r>
        <w:rPr>
          <w:rFonts w:hint="eastAsia" w:ascii="Times New Roman" w:hAnsi="Times New Roman"/>
          <w:bCs/>
          <w:sz w:val="20"/>
          <w:szCs w:val="20"/>
        </w:rPr>
        <w:t xml:space="preserve">much </w:t>
      </w:r>
      <w:r>
        <w:rPr>
          <w:rFonts w:ascii="Times New Roman" w:hAnsi="Times New Roman"/>
          <w:bCs/>
          <w:sz w:val="20"/>
          <w:szCs w:val="20"/>
        </w:rPr>
        <w:t>better than FD-OCC</w:t>
      </w:r>
      <w:r>
        <w:rPr>
          <w:rFonts w:hint="eastAsia" w:ascii="Times New Roman" w:hAnsi="Times New Roman"/>
          <w:bCs/>
          <w:sz w:val="20"/>
          <w:szCs w:val="20"/>
        </w:rPr>
        <w:t>.</w:t>
      </w:r>
    </w:p>
    <w:p>
      <w:pPr>
        <w:snapToGrid w:val="0"/>
        <w:spacing w:before="180" w:beforeLines="50" w:after="180" w:afterLines="50" w:line="288" w:lineRule="auto"/>
        <w:jc w:val="center"/>
        <w:rPr>
          <w:rFonts w:eastAsia="Times New Roman"/>
          <w:sz w:val="21"/>
        </w:rPr>
      </w:pPr>
      <w:r>
        <w:object>
          <v:shape id="_x0000_i1025" o:spt="75" type="#_x0000_t75" style="height:168.9pt;width:435.2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bCs/>
          <w:sz w:val="20"/>
          <w:szCs w:val="20"/>
        </w:rPr>
        <w:t>Figure 2</w:t>
      </w:r>
      <w:r>
        <w:rPr>
          <w:rFonts w:ascii="Times New Roman" w:hAnsi="Times New Roman"/>
          <w:sz w:val="20"/>
          <w:szCs w:val="20"/>
        </w:rPr>
        <w:t xml:space="preserve"> LLS simulation results </w:t>
      </w:r>
      <w:r>
        <w:rPr>
          <w:rFonts w:ascii="Times New Roman" w:hAnsi="Times New Roman" w:eastAsia="宋体"/>
          <w:sz w:val="20"/>
          <w:szCs w:val="20"/>
        </w:rPr>
        <w:t>with (a) UE speed 3km/h and delay spread 30ns</w:t>
      </w:r>
      <w:r>
        <w:rPr>
          <w:rFonts w:hint="eastAsia" w:ascii="Times New Roman" w:hAnsi="Times New Roman" w:eastAsia="宋体"/>
          <w:sz w:val="20"/>
          <w:szCs w:val="20"/>
        </w:rPr>
        <w:t xml:space="preserve"> and</w:t>
      </w:r>
      <w:r>
        <w:rPr>
          <w:rFonts w:ascii="Times New Roman" w:hAnsi="Times New Roman" w:eastAsia="宋体"/>
          <w:sz w:val="20"/>
          <w:szCs w:val="20"/>
        </w:rPr>
        <w:t xml:space="preserve"> (b) UE speed 3km/h and delay spread 300ns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Furthermore, if intra-slot frequency hopping is configured, different hops are mapped on different frequency resources, and if TD-OCC is used across different hops, the delay spread will also bring impact on the estimation of DMRS, so if more orthogonal DMRS ports are needed, TD-OCC can be supported on the frequency hop with two DMRS symbols.</w:t>
      </w:r>
    </w:p>
    <w:p>
      <w:pPr>
        <w:snapToGrid w:val="0"/>
        <w:spacing w:before="10" w:after="10" w:line="288" w:lineRule="auto"/>
        <w:jc w:val="both"/>
        <w:rPr>
          <w:rFonts w:ascii="Times New Roman" w:hAnsi="Times New Roman"/>
          <w:bCs/>
          <w:i/>
          <w:sz w:val="20"/>
          <w:szCs w:val="20"/>
        </w:rPr>
      </w:pPr>
      <w:bookmarkStart w:id="14" w:name="OLE_LINK1"/>
      <w:bookmarkStart w:id="15" w:name="OLE_LINK4"/>
      <w:r>
        <w:rPr>
          <w:rFonts w:hint="eastAsia" w:ascii="Times New Roman" w:hAnsi="Times New Roman"/>
          <w:b/>
          <w:i/>
          <w:sz w:val="20"/>
          <w:szCs w:val="20"/>
        </w:rPr>
        <w:t>Proposal 3</w:t>
      </w:r>
      <w:r>
        <w:rPr>
          <w:rFonts w:ascii="Times New Roman" w:hAnsi="Times New Roman"/>
          <w:b/>
          <w:i/>
          <w:sz w:val="20"/>
          <w:szCs w:val="20"/>
        </w:rPr>
        <w:t xml:space="preserve">: </w:t>
      </w:r>
      <w:r>
        <w:rPr>
          <w:rFonts w:ascii="Times New Roman" w:hAnsi="Times New Roman"/>
          <w:i/>
          <w:sz w:val="20"/>
          <w:szCs w:val="20"/>
        </w:rPr>
        <w:t>T</w:t>
      </w:r>
      <w:r>
        <w:rPr>
          <w:rFonts w:hint="eastAsia" w:ascii="Times New Roman" w:hAnsi="Times New Roman"/>
          <w:i/>
          <w:sz w:val="20"/>
          <w:szCs w:val="20"/>
        </w:rPr>
        <w:t>o increase the number of orthogonal DMRS ports in MU-MIMO</w:t>
      </w:r>
      <w:r>
        <w:rPr>
          <w:rFonts w:hint="eastAsia" w:ascii="Times New Roman" w:hAnsi="Times New Roman"/>
          <w:bCs/>
          <w:i/>
          <w:iCs/>
          <w:sz w:val="20"/>
          <w:szCs w:val="20"/>
        </w:rPr>
        <w:t xml:space="preserve">, TD-OCC on non-continuous OFDM symbols should be </w:t>
      </w:r>
      <w:bookmarkEnd w:id="14"/>
      <w:r>
        <w:rPr>
          <w:rFonts w:hint="eastAsia" w:ascii="Times New Roman" w:hAnsi="Times New Roman"/>
          <w:bCs/>
          <w:i/>
          <w:iCs/>
          <w:sz w:val="20"/>
          <w:szCs w:val="20"/>
        </w:rPr>
        <w:t xml:space="preserve">supported additionally </w:t>
      </w:r>
      <w:r>
        <w:rPr>
          <w:rFonts w:hint="eastAsia" w:ascii="Times New Roman" w:hAnsi="Times New Roman"/>
          <w:i/>
          <w:sz w:val="20"/>
          <w:szCs w:val="20"/>
        </w:rPr>
        <w:t>i</w:t>
      </w:r>
      <w:r>
        <w:rPr>
          <w:rFonts w:ascii="Times New Roman" w:hAnsi="Times New Roman"/>
          <w:bCs/>
          <w:i/>
          <w:sz w:val="20"/>
          <w:szCs w:val="20"/>
        </w:rPr>
        <w:t>n the scenario of low-speed and high-delay-spread</w:t>
      </w:r>
      <w:r>
        <w:rPr>
          <w:rFonts w:hint="eastAsia" w:ascii="Times New Roman" w:hAnsi="Times New Roman"/>
          <w:bCs/>
          <w:i/>
          <w:sz w:val="20"/>
          <w:szCs w:val="20"/>
        </w:rPr>
        <w:t>.</w:t>
      </w:r>
    </w:p>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If intra-slot frequency hopping is configured, TD-OCC is supported on the hop with two DMRS symbols.</w:t>
      </w:r>
      <w:bookmarkEnd w:id="15"/>
    </w:p>
    <w:bookmarkEnd w:id="12"/>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Co-existence of legacy DMRS ports and Rel-18 DMRS ports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RAN1#110 meeting, </w:t>
      </w:r>
      <w:r>
        <w:rPr>
          <w:rFonts w:ascii="Times New Roman" w:hAnsi="Times New Roman"/>
          <w:sz w:val="20"/>
          <w:szCs w:val="20"/>
        </w:rPr>
        <w:t>one agreement was reached</w:t>
      </w:r>
      <w:r>
        <w:rPr>
          <w:rFonts w:hint="eastAsia" w:ascii="Times New Roman" w:hAnsi="Times New Roman"/>
          <w:sz w:val="20"/>
          <w:szCs w:val="20"/>
        </w:rPr>
        <w:t xml:space="preserve"> as follow</w:t>
      </w:r>
      <w:r>
        <w:rPr>
          <w:rFonts w:ascii="Times New Roman" w:hAnsi="Times New Roman"/>
          <w:sz w:val="20"/>
          <w:szCs w:val="20"/>
        </w:rPr>
        <w: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Support MU-MIMO between Rel.15 DMRS ports and Rel.18 DMRS ports.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MU-MIMO by different CDM groups, no MU-MIMO scheduling restriction of PUSCH/PDSCH (i.e. MU-MIMO between Rel.15 UE and Rel.18 UE is allowed).</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MU-MIMO within a CDM group, study whether and how to support MU-MIMO between Rel.15 DMRS ports and Rel.18 DMRS ports for PDSCH.</w:t>
            </w:r>
          </w:p>
          <w:p>
            <w:pPr>
              <w:pStyle w:val="99"/>
              <w:numPr>
                <w:ilvl w:val="1"/>
                <w:numId w:val="7"/>
              </w:numPr>
              <w:spacing w:after="0" w:line="288" w:lineRule="auto"/>
              <w:ind w:firstLine="400"/>
              <w:jc w:val="both"/>
              <w:rPr>
                <w:rFonts w:ascii="Times New Roman" w:hAnsi="Times New Roman" w:eastAsia="Malgun Gothic"/>
                <w:sz w:val="20"/>
                <w:szCs w:val="20"/>
                <w:lang w:eastAsia="ja-JP"/>
              </w:rPr>
            </w:pPr>
            <w:r>
              <w:rPr>
                <w:rFonts w:ascii="Times New Roman" w:hAnsi="Times New Roman" w:eastAsia="Malgun Gothic"/>
                <w:sz w:val="20"/>
                <w:szCs w:val="20"/>
                <w:lang w:eastAsia="ja-JP"/>
              </w:rPr>
              <w:t>Note: the study includes MU-MIMO between Rel.15 UE and Rel.18 UE, and between Rel.18 UEs.</w:t>
            </w:r>
          </w:p>
          <w:p>
            <w:pPr>
              <w:pStyle w:val="99"/>
              <w:numPr>
                <w:ilvl w:val="0"/>
                <w:numId w:val="7"/>
              </w:numPr>
              <w:spacing w:after="0" w:line="288" w:lineRule="auto"/>
              <w:ind w:left="839" w:firstLine="148" w:firstLineChars="74"/>
              <w:jc w:val="both"/>
              <w:rPr>
                <w:rFonts w:ascii="Times New Roman" w:hAnsi="Times New Roman"/>
                <w:sz w:val="20"/>
                <w:szCs w:val="20"/>
              </w:rPr>
            </w:pPr>
            <w:r>
              <w:rPr>
                <w:rFonts w:ascii="Times New Roman" w:hAnsi="Times New Roman" w:eastAsia="宋体"/>
                <w:bCs/>
                <w:sz w:val="20"/>
                <w:szCs w:val="20"/>
                <w:lang w:eastAsia="ja-JP"/>
              </w:rPr>
              <w:t>Note: PUSCH above is CP-OFDM waveform.</w:t>
            </w:r>
          </w:p>
        </w:tc>
      </w:tr>
    </w:tbl>
    <w:p>
      <w:pPr>
        <w:snapToGrid w:val="0"/>
        <w:spacing w:before="180" w:beforeLines="50" w:after="180" w:afterLines="50" w:line="288" w:lineRule="auto"/>
        <w:jc w:val="both"/>
        <w:rPr>
          <w:rFonts w:ascii="Times New Roman" w:hAnsi="Times New Roman"/>
          <w:iCs/>
          <w:sz w:val="20"/>
          <w:szCs w:val="20"/>
        </w:rPr>
      </w:pPr>
      <w:bookmarkStart w:id="16" w:name="OLE_LINK14"/>
      <w:r>
        <w:rPr>
          <w:rFonts w:hint="eastAsia" w:ascii="Times New Roman" w:hAnsi="Times New Roman"/>
          <w:sz w:val="20"/>
          <w:szCs w:val="20"/>
        </w:rPr>
        <w:t>To support larger number of orthogonal DMRS ports, it is beneficial to co-schedule legacy DMRS ports and Rel-18 DMRS ports in the same CDM group. Meanwhile, some restrict</w:t>
      </w:r>
      <w:r>
        <w:rPr>
          <w:rFonts w:ascii="Times New Roman" w:hAnsi="Times New Roman"/>
          <w:sz w:val="20"/>
          <w:szCs w:val="20"/>
        </w:rPr>
        <w:t>ion</w:t>
      </w:r>
      <w:r>
        <w:rPr>
          <w:rFonts w:hint="eastAsia" w:ascii="Times New Roman" w:hAnsi="Times New Roman"/>
          <w:sz w:val="20"/>
          <w:szCs w:val="20"/>
        </w:rPr>
        <w:t xml:space="preserve"> should be reached to keep the orthogonality of DMRS ports. For example, if the legacy DMRS ports with FD-OCC of [+1, +1], Rel-18 DMRS port with [+1, +1, +1, +1] cannot be co-scheduled in the same CDM group. Hence, if </w:t>
      </w:r>
      <w:r>
        <w:rPr>
          <w:rFonts w:hint="eastAsia" w:ascii="Times New Roman" w:hAnsi="Times New Roman"/>
          <w:iCs/>
          <w:sz w:val="20"/>
          <w:szCs w:val="20"/>
        </w:rPr>
        <w:t>Rel-18 DMRS ports are co-scheduled with Rel-15 DMRS in the same CDM group, the OCC of the scheduled Rel-18 DMRS ports should be orthogonal with Rel-15 DMRS ports anyways.</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bookmarkStart w:id="17" w:name="OLE_LINK16"/>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MU-MIMO between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15 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If Rel-18 DMRS ports are co-scheduled with Rel-15 DMRS in the same CDM group, the OCC of the scheduled Rel-18 DMRS ports should be orthogonal with Rel-15 DMRS ports.</w:t>
      </w:r>
    </w:p>
    <w:bookmarkEnd w:id="16"/>
    <w:bookmarkEnd w:id="17"/>
    <w:p>
      <w:pPr>
        <w:pStyle w:val="3"/>
        <w:numPr>
          <w:ilvl w:val="1"/>
          <w:numId w:val="4"/>
        </w:numPr>
        <w:snapToGrid w:val="0"/>
        <w:spacing w:before="180" w:beforeLines="50" w:after="180" w:afterLines="50" w:line="240" w:lineRule="auto"/>
      </w:pPr>
      <w:r>
        <w:rPr>
          <w:rFonts w:hint="eastAsia" w:ascii="Times New Roman" w:hAnsi="Times New Roman"/>
          <w:b/>
          <w:bCs/>
          <w:sz w:val="24"/>
          <w:szCs w:val="24"/>
        </w:rPr>
        <w:t>Indication of legacy DMRS ports and Rel-18 DMRS ports</w:t>
      </w:r>
    </w:p>
    <w:p>
      <w:pPr>
        <w:snapToGrid w:val="0"/>
        <w:spacing w:before="180" w:beforeLines="50" w:after="180" w:afterLines="50" w:line="288" w:lineRule="auto"/>
        <w:jc w:val="both"/>
        <w:rPr>
          <w:rFonts w:ascii="Times New Roman" w:hAnsi="Times New Roman"/>
          <w:sz w:val="20"/>
          <w:szCs w:val="20"/>
        </w:rPr>
      </w:pPr>
      <w:bookmarkStart w:id="18" w:name="OLE_LINK22"/>
      <w:r>
        <w:rPr>
          <w:rFonts w:hint="eastAsia" w:ascii="Times New Roman" w:hAnsi="Times New Roman"/>
          <w:sz w:val="20"/>
          <w:szCs w:val="20"/>
        </w:rPr>
        <w:t>In RAN1#110 meeting, the following agreements on the indication of Rel-18 DMRS ports</w:t>
      </w:r>
      <w:r>
        <w:rPr>
          <w:rFonts w:ascii="Times New Roman" w:hAnsi="Times New Roman"/>
          <w:sz w:val="20"/>
          <w:szCs w:val="20"/>
        </w:rPr>
        <w:t xml:space="preserve"> was reached</w:t>
      </w:r>
      <w:r>
        <w:rPr>
          <w:rFonts w:hint="eastAsia" w:ascii="Times New Roman" w:hAnsi="Times New Roman"/>
          <w:sz w:val="20"/>
          <w:szCs w:val="20"/>
        </w:rPr>
        <w:t>.</w:t>
      </w:r>
    </w:p>
    <w:bookmarkEnd w:id="18"/>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pStyle w:val="99"/>
              <w:ind w:firstLine="0" w:firstLineChars="0"/>
              <w:jc w:val="both"/>
              <w:rPr>
                <w:rFonts w:ascii="Times New Roman" w:hAnsi="Times New Roman"/>
                <w:sz w:val="20"/>
                <w:szCs w:val="20"/>
              </w:rPr>
            </w:pPr>
            <w:r>
              <w:rPr>
                <w:rFonts w:ascii="Times New Roman" w:hAnsi="Times New Roman" w:eastAsia="Malgun Gothic"/>
                <w:sz w:val="20"/>
                <w:szCs w:val="20"/>
                <w:lang w:eastAsia="ja-JP"/>
              </w:rPr>
              <w:t>For increased DMRS ports for enhanced FD-OCC, study whether/how to support DCI based switching between DMRS port(s) associated with length 2 FD-OCC and DMRS port(s) associated with length M FD-OCC (where M &gt; 2).</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MU-MIMO, legacy UE and Rel-18 UE can be co-scheduled in order to keep the scheduling flexibility of gNB. Considering the DMRS ports are indicated by DCI signaling, it is natural to support indicating the DMRS port is a legacy DMRS port or a Rel-18 DMRS port by DCI.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Two possible ways can be considered to indicate the Rel-18 DMRS ports:</w:t>
      </w:r>
    </w:p>
    <w:p>
      <w:pPr>
        <w:numPr>
          <w:ilvl w:val="0"/>
          <w:numId w:val="12"/>
        </w:numPr>
        <w:snapToGrid w:val="0"/>
        <w:spacing w:before="180" w:beforeLines="50" w:after="180" w:afterLines="50" w:line="288" w:lineRule="auto"/>
        <w:ind w:firstLine="720"/>
        <w:jc w:val="both"/>
        <w:rPr>
          <w:rFonts w:ascii="Times New Roman" w:hAnsi="Times New Roman"/>
          <w:sz w:val="20"/>
          <w:szCs w:val="20"/>
        </w:rPr>
      </w:pPr>
      <w:r>
        <w:rPr>
          <w:rFonts w:hint="eastAsia" w:ascii="Times New Roman" w:hAnsi="Times New Roman"/>
          <w:sz w:val="20"/>
          <w:szCs w:val="20"/>
        </w:rPr>
        <w:t>A combined table is used to indicate the DMRS ports of Rel-15 and Rel-18;</w:t>
      </w:r>
    </w:p>
    <w:p>
      <w:pPr>
        <w:numPr>
          <w:ilvl w:val="0"/>
          <w:numId w:val="12"/>
        </w:numPr>
        <w:snapToGrid w:val="0"/>
        <w:spacing w:before="180" w:beforeLines="50" w:after="180" w:afterLines="50" w:line="288" w:lineRule="auto"/>
        <w:ind w:firstLine="720"/>
        <w:jc w:val="both"/>
        <w:rPr>
          <w:rFonts w:ascii="Times New Roman" w:hAnsi="Times New Roman"/>
          <w:sz w:val="20"/>
          <w:szCs w:val="20"/>
        </w:rPr>
      </w:pPr>
      <w:r>
        <w:rPr>
          <w:rFonts w:hint="eastAsia" w:ascii="Times New Roman" w:hAnsi="Times New Roman"/>
          <w:sz w:val="20"/>
          <w:szCs w:val="20"/>
        </w:rPr>
        <w:t>Two separate tables are used to indicate the DMRS ports of Rel-15 and Rel-18.</w:t>
      </w:r>
    </w:p>
    <w:p>
      <w:pPr>
        <w:snapToGrid w:val="0"/>
        <w:spacing w:before="180" w:beforeLines="50" w:after="180" w:afterLines="50" w:line="288" w:lineRule="auto"/>
        <w:jc w:val="both"/>
        <w:rPr>
          <w:rFonts w:ascii="Times New Roman" w:hAnsi="Times New Roman"/>
          <w:b/>
          <w:i/>
          <w:sz w:val="20"/>
          <w:szCs w:val="20"/>
        </w:rPr>
      </w:pPr>
      <w:r>
        <w:rPr>
          <w:rFonts w:hint="eastAsia" w:ascii="Times New Roman" w:hAnsi="Times New Roman"/>
          <w:sz w:val="20"/>
          <w:szCs w:val="20"/>
        </w:rPr>
        <w:t>From our view</w:t>
      </w:r>
      <w:r>
        <w:rPr>
          <w:rFonts w:ascii="Times New Roman" w:hAnsi="Times New Roman"/>
          <w:sz w:val="20"/>
          <w:szCs w:val="20"/>
        </w:rPr>
        <w:t>s</w:t>
      </w:r>
      <w:r>
        <w:rPr>
          <w:rFonts w:hint="eastAsia" w:ascii="Times New Roman" w:hAnsi="Times New Roman"/>
          <w:sz w:val="20"/>
          <w:szCs w:val="20"/>
        </w:rPr>
        <w:t>, if separate tables are supported, it should be indicated which table is used in the DCI, one simple method is to introduce one bit to indicate whether Rel-15 or Rel-18 table is used, i.e. the DMRS ports are associated with length 2 or length 4. In this case the DCI overhead is similar for the two ways, and to avoid redundant DCI signaling/overhead, we tend to support to enlarge DMRS table to indicate the DMRS ports for both legacy and Rel-18 DMRS ports, and different values of the table can be used to indicate whether the DMRS ports are legacy DMRS or Rel-18 DMRS. The former values can be used to indicate the Rel-15 DMRS ports and the last values are used to indicate the Rel-18 DMRS ports.</w:t>
      </w:r>
    </w:p>
    <w:p>
      <w:pPr>
        <w:snapToGrid w:val="0"/>
        <w:spacing w:before="10" w:after="10" w:line="288" w:lineRule="auto"/>
        <w:jc w:val="both"/>
        <w:rPr>
          <w:rFonts w:ascii="Times New Roman" w:hAnsi="Times New Roman"/>
          <w:i/>
          <w:sz w:val="20"/>
          <w:szCs w:val="20"/>
        </w:rPr>
      </w:pPr>
      <w:bookmarkStart w:id="19" w:name="OLE_LINK17"/>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i/>
          <w:sz w:val="20"/>
          <w:szCs w:val="20"/>
        </w:rPr>
        <w:t>Dynamic indication of legacy DMRS ports and Rel-18 DMRS ports is supported, and different values of the DMRS indication table indicate the DMRS ports are legacy DMRS ports or Rel-18 DMRS ports.</w:t>
      </w:r>
    </w:p>
    <w:bookmarkEnd w:id="1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DMRS enhancement for 8 Tx UL SU-MIMO</w:t>
      </w:r>
    </w:p>
    <w:p>
      <w:pPr>
        <w:pStyle w:val="3"/>
        <w:numPr>
          <w:ilvl w:val="1"/>
          <w:numId w:val="13"/>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DMRS for more than 4 layers transmission</w:t>
      </w:r>
    </w:p>
    <w:p>
      <w:pPr>
        <w:snapToGrid w:val="0"/>
        <w:spacing w:before="180" w:beforeLines="50" w:after="180" w:afterLines="50" w:line="288" w:lineRule="auto"/>
        <w:jc w:val="both"/>
      </w:pPr>
      <w:r>
        <w:rPr>
          <w:rFonts w:hint="eastAsia" w:ascii="Times New Roman" w:hAnsi="Times New Roman"/>
          <w:sz w:val="20"/>
          <w:szCs w:val="20"/>
        </w:rPr>
        <w:t xml:space="preserve">In RAN1#110 meeting, the following agreements on DMRS enhancement for &gt;4 layers PUSCH </w:t>
      </w:r>
      <w:r>
        <w:rPr>
          <w:rFonts w:ascii="Times New Roman" w:hAnsi="Times New Roman"/>
          <w:sz w:val="20"/>
          <w:szCs w:val="20"/>
        </w:rPr>
        <w:t>was reached</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overflowPunct w:val="0"/>
              <w:autoSpaceDE w:val="0"/>
              <w:autoSpaceDN w:val="0"/>
              <w:adjustRightInd w:val="0"/>
              <w:snapToGrid w:val="0"/>
              <w:spacing w:after="0" w:line="288" w:lineRule="auto"/>
              <w:jc w:val="both"/>
              <w:textAlignment w:val="baseline"/>
            </w:pPr>
            <w:bookmarkStart w:id="20" w:name="OLE_LINK23"/>
            <w:r>
              <w:rPr>
                <w:rFonts w:ascii="Times New Roman" w:hAnsi="Times New Roman" w:eastAsia="宋体"/>
                <w:bCs/>
                <w:sz w:val="20"/>
                <w:szCs w:val="20"/>
                <w:lang w:eastAsia="ja-JP"/>
              </w:rPr>
              <w:t>For &gt; 4 layers PUSCH, support rank = 5,6,7,8 for both DMRS type 1/2, and for both single-symbol/double-symbol DMRS.</w:t>
            </w:r>
            <w:bookmarkEnd w:id="20"/>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 meeting, it was agreed to support more than 4 layers transmission for PUSCH in AI 9.1.4.2. For Rel-15 PDSCH transmission, up to 8 layers transmission has already been supported in current specification. To support more than 4 layers transmission of uplink transmission, it is natural to support the transmission based on Rel-15 DMRS at least. Given that at most 4/6 DMRS ports can be used when single-symbol DMRS, that means only double symbol Rel-15 DMRS can be used to facilitate this enhancement. For Rel-18 DMRS, up to 8/12 DMRS ports can be used when single symbol DMRS and up to 16/24 DMRS ports can be used when double symbol DMRS, both single symbol Rel-18 DMRS and double symbol Rel-18 DMRS can be used to facilitate this enhancement.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Besides, note that up to 24 ports are supported for double symbol Rel-18 DMRS, if up to 8 DMRS ports are indicated to one UE, so whether the other DMRS ports can be indicated to other UEs</w:t>
      </w:r>
      <w:r>
        <w:rPr>
          <w:rFonts w:ascii="Times New Roman" w:hAnsi="Times New Roman"/>
          <w:sz w:val="20"/>
          <w:szCs w:val="20"/>
        </w:rPr>
        <w:t>,</w:t>
      </w:r>
      <w:r>
        <w:rPr>
          <w:rFonts w:hint="eastAsia" w:ascii="Times New Roman" w:hAnsi="Times New Roman"/>
          <w:sz w:val="20"/>
          <w:szCs w:val="20"/>
        </w:rPr>
        <w:t xml:space="preserve"> i.e</w:t>
      </w:r>
      <w:r>
        <w:rPr>
          <w:rFonts w:ascii="Times New Roman" w:hAnsi="Times New Roman"/>
          <w:sz w:val="20"/>
          <w:szCs w:val="20"/>
        </w:rPr>
        <w:t>,</w:t>
      </w:r>
      <w:r>
        <w:rPr>
          <w:rFonts w:hint="eastAsia" w:ascii="Times New Roman" w:hAnsi="Times New Roman"/>
          <w:sz w:val="20"/>
          <w:szCs w:val="20"/>
        </w:rPr>
        <w:t xml:space="preserve"> MU-MIMO, can be further studied.</w:t>
      </w:r>
    </w:p>
    <w:p>
      <w:pPr>
        <w:adjustRightInd w:val="0"/>
        <w:snapToGrid w:val="0"/>
        <w:spacing w:before="180" w:beforeLines="50" w:after="10" w:line="288" w:lineRule="auto"/>
        <w:rPr>
          <w:rFonts w:ascii="Times New Roman" w:hAnsi="Times New Roman"/>
          <w:i/>
          <w:sz w:val="20"/>
          <w:szCs w:val="20"/>
          <w:lang w:eastAsia="ja-JP"/>
        </w:rPr>
      </w:pPr>
      <w:bookmarkStart w:id="21" w:name="OLE_LINK26"/>
      <w:r>
        <w:rPr>
          <w:rFonts w:hint="eastAsia" w:ascii="Times New Roman" w:hAnsi="Times New Roman"/>
          <w:b/>
          <w:i/>
          <w:sz w:val="20"/>
          <w:szCs w:val="20"/>
        </w:rPr>
        <w:t>Proposal 6</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support rank = 5,6,7,8 for both DMRS type 1/2, support </w:t>
      </w:r>
      <w:r>
        <w:rPr>
          <w:rFonts w:hint="eastAsia" w:ascii="Times New Roman" w:hAnsi="Times New Roman"/>
          <w:i/>
          <w:sz w:val="20"/>
          <w:szCs w:val="20"/>
        </w:rPr>
        <w:t xml:space="preserve">Rel-15 double-symbol DMRS and Rel-18 </w:t>
      </w:r>
      <w:r>
        <w:rPr>
          <w:rFonts w:ascii="Times New Roman" w:hAnsi="Times New Roman"/>
          <w:i/>
          <w:sz w:val="20"/>
          <w:szCs w:val="20"/>
          <w:lang w:eastAsia="ja-JP"/>
        </w:rPr>
        <w:t>single-symbol</w:t>
      </w:r>
      <w:r>
        <w:rPr>
          <w:rFonts w:hint="eastAsia" w:ascii="Times New Roman" w:hAnsi="Times New Roman"/>
          <w:i/>
          <w:sz w:val="20"/>
          <w:szCs w:val="20"/>
        </w:rPr>
        <w:t xml:space="preserve"> and </w:t>
      </w:r>
      <w:r>
        <w:rPr>
          <w:rFonts w:ascii="Times New Roman" w:hAnsi="Times New Roman"/>
          <w:i/>
          <w:sz w:val="20"/>
          <w:szCs w:val="20"/>
          <w:lang w:eastAsia="ja-JP"/>
        </w:rPr>
        <w:t>double-symbol DMRS.</w:t>
      </w:r>
    </w:p>
    <w:p>
      <w:pPr>
        <w:numPr>
          <w:ilvl w:val="0"/>
          <w:numId w:val="11"/>
        </w:numPr>
        <w:snapToGrid w:val="0"/>
        <w:spacing w:before="10" w:after="10" w:line="288" w:lineRule="auto"/>
        <w:jc w:val="both"/>
        <w:rPr>
          <w:rFonts w:ascii="Times New Roman" w:hAnsi="Times New Roman"/>
          <w:i/>
          <w:sz w:val="20"/>
          <w:szCs w:val="20"/>
        </w:rPr>
      </w:pPr>
      <w:r>
        <w:rPr>
          <w:rFonts w:hint="eastAsia" w:ascii="Times New Roman" w:hAnsi="Times New Roman"/>
          <w:i/>
          <w:sz w:val="20"/>
          <w:szCs w:val="20"/>
        </w:rPr>
        <w:t>FFS: whether</w:t>
      </w:r>
      <w:r>
        <w:rPr>
          <w:rFonts w:ascii="Times New Roman" w:hAnsi="Times New Roman"/>
          <w:i/>
          <w:sz w:val="20"/>
          <w:szCs w:val="20"/>
        </w:rPr>
        <w:t>/how</w:t>
      </w:r>
      <w:r>
        <w:rPr>
          <w:rFonts w:hint="eastAsia" w:ascii="Times New Roman" w:hAnsi="Times New Roman"/>
          <w:i/>
          <w:sz w:val="20"/>
          <w:szCs w:val="20"/>
        </w:rPr>
        <w:t xml:space="preserve">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Rel-18 DMRS</w:t>
      </w:r>
      <w:r>
        <w:rPr>
          <w:rFonts w:ascii="Times New Roman" w:hAnsi="Times New Roman"/>
          <w:i/>
          <w:sz w:val="20"/>
          <w:szCs w:val="20"/>
        </w:rPr>
        <w:t xml:space="preserve"> in such case</w:t>
      </w:r>
      <w:r>
        <w:rPr>
          <w:rFonts w:hint="eastAsia" w:ascii="Times New Roman" w:hAnsi="Times New Roman"/>
          <w:i/>
          <w:sz w:val="20"/>
          <w:szCs w:val="20"/>
        </w:rPr>
        <w:t>.</w:t>
      </w:r>
    </w:p>
    <w:bookmarkEnd w:id="21"/>
    <w:p>
      <w:pPr>
        <w:pStyle w:val="3"/>
        <w:numPr>
          <w:ilvl w:val="1"/>
          <w:numId w:val="13"/>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PTRS</w:t>
      </w:r>
    </w:p>
    <w:p>
      <w:pPr>
        <w:snapToGrid w:val="0"/>
        <w:spacing w:before="180" w:beforeLines="50" w:after="180" w:afterLines="50" w:line="288" w:lineRule="auto"/>
        <w:jc w:val="both"/>
      </w:pPr>
      <w:r>
        <w:rPr>
          <w:rFonts w:hint="eastAsia" w:ascii="Times New Roman" w:hAnsi="Times New Roman"/>
          <w:sz w:val="20"/>
          <w:szCs w:val="20"/>
        </w:rPr>
        <w:t>In RAN1#110 meeting, the following agreements on the indication of association between PTRS ports and Rel-18 DMRS ports</w:t>
      </w:r>
      <w:r>
        <w:rPr>
          <w:rFonts w:ascii="Times New Roman" w:hAnsi="Times New Roman"/>
          <w:sz w:val="20"/>
          <w:szCs w:val="20"/>
        </w:rPr>
        <w:t xml:space="preserve"> was reached</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 xml:space="preserve">For support of more than 4 layers SU-MIMO PUSCH, study the following potential enhancements for PTRS-DMRS association. </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Whether to support more than 2-port UL PTRS.</w:t>
            </w:r>
          </w:p>
          <w:p>
            <w:pPr>
              <w:numPr>
                <w:ilvl w:val="1"/>
                <w:numId w:val="2"/>
              </w:numPr>
              <w:overflowPunct w:val="0"/>
              <w:autoSpaceDE w:val="0"/>
              <w:autoSpaceDN w:val="0"/>
              <w:adjustRightInd w:val="0"/>
              <w:snapToGrid w:val="0"/>
              <w:spacing w:after="0" w:line="288" w:lineRule="auto"/>
              <w:jc w:val="both"/>
              <w:textAlignment w:val="baseline"/>
            </w:pPr>
            <w:r>
              <w:rPr>
                <w:rFonts w:ascii="Times New Roman" w:hAnsi="Times New Roman" w:eastAsia="宋体"/>
                <w:bCs/>
                <w:sz w:val="20"/>
                <w:szCs w:val="20"/>
                <w:lang w:eastAsia="ja-JP"/>
              </w:rPr>
              <w:t>Whether to increase the DCI size of PTRS-DMRS association field in DCI format 0_1/0_2.</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One issue is when up to 8 DMRS ports are supported for UL transmission, the association between DMRS ports and PTRS ports should also be enhanced, where the PTRS-DMRS association indication field should be increased. More precisely,</w:t>
      </w:r>
      <w:r>
        <w:rPr>
          <w:rFonts w:ascii="Times New Roman" w:hAnsi="Times New Roman"/>
          <w:sz w:val="20"/>
          <w:szCs w:val="20"/>
        </w:rPr>
        <w:t xml:space="preserve"> </w:t>
      </w:r>
      <w:r>
        <w:rPr>
          <w:rFonts w:hint="eastAsia" w:ascii="Times New Roman" w:hAnsi="Times New Roman"/>
          <w:sz w:val="20"/>
          <w:szCs w:val="20"/>
        </w:rPr>
        <w:t>for the case of 8 DMRS ports share one PTRS port, 3 bits in total are needed. For case of 4 DMRS ports share one PTRS port, 4 bits (2bits + 2bits) in total are needed. For case of 2 DMRS ports share one PTRS port, 4 bits (1bit + 1bit + 1bit + 1bit) in total are needed. Furthermore, two aspects should be considered as follows:</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1: Whether larger number of PTRS port should be supported. According to Rel-15, two DMRS ports share one PTRS port</w:t>
      </w:r>
      <w:r>
        <w:rPr>
          <w:rFonts w:ascii="Times New Roman" w:hAnsi="Times New Roman"/>
          <w:sz w:val="20"/>
          <w:szCs w:val="20"/>
        </w:rPr>
        <w:t>. I</w:t>
      </w:r>
      <w:r>
        <w:rPr>
          <w:rFonts w:hint="eastAsia" w:ascii="Times New Roman" w:hAnsi="Times New Roman"/>
          <w:sz w:val="20"/>
          <w:szCs w:val="20"/>
        </w:rPr>
        <w:t>f the rules are reused in Rel-18 and up to 8 DMRS ports are indicated to one UE, larger number of PTRS ports should be considered.</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2: Whether larger number of DMRS ports that share one PTRS port should be supported. In the case of up to 2 PTRS ports are supported, one PTRS port should be shared by 4 DMRS ports, and the one from the 4 DMRS ports should be indicated to associate with the PTRS port.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More PTRS ports lead to more overhead for PTRS mapping, and will cause negative impact on the spectrum efficiency of PUSCH transmission. Note that the association may be related on the codebook design for more than 4 layers codebook</w:t>
      </w:r>
      <w:r>
        <w:rPr>
          <w:rFonts w:ascii="Times New Roman" w:hAnsi="Times New Roman"/>
          <w:sz w:val="20"/>
          <w:szCs w:val="20"/>
        </w:rPr>
        <w:t>-</w:t>
      </w:r>
      <w:r>
        <w:rPr>
          <w:rFonts w:hint="eastAsia" w:ascii="Times New Roman" w:hAnsi="Times New Roman"/>
          <w:sz w:val="20"/>
          <w:szCs w:val="20"/>
        </w:rPr>
        <w:t>based UL transmission or the SRS configuration for non</w:t>
      </w:r>
      <w:r>
        <w:rPr>
          <w:rFonts w:ascii="Times New Roman" w:hAnsi="Times New Roman"/>
          <w:sz w:val="20"/>
          <w:szCs w:val="20"/>
        </w:rPr>
        <w:t>-</w:t>
      </w:r>
      <w:r>
        <w:rPr>
          <w:rFonts w:hint="eastAsia" w:ascii="Times New Roman" w:hAnsi="Times New Roman"/>
          <w:sz w:val="20"/>
          <w:szCs w:val="20"/>
        </w:rPr>
        <w:t>codebook based UL transmission, it is hard to decide which of the two ways is more reasonable. But when considering Rel-15 PTRS port, even for non-coherent codebook</w:t>
      </w:r>
      <w:r>
        <w:rPr>
          <w:rFonts w:ascii="Times New Roman" w:hAnsi="Times New Roman"/>
          <w:sz w:val="20"/>
          <w:szCs w:val="20"/>
        </w:rPr>
        <w:t>-</w:t>
      </w:r>
      <w:r>
        <w:rPr>
          <w:rFonts w:hint="eastAsia" w:ascii="Times New Roman" w:hAnsi="Times New Roman"/>
          <w:sz w:val="20"/>
          <w:szCs w:val="20"/>
        </w:rPr>
        <w:t>based uplink transmission, up to 2 PTRS ports are supported.</w:t>
      </w:r>
      <w:r>
        <w:rPr>
          <w:rFonts w:ascii="Times New Roman" w:hAnsi="Times New Roman"/>
          <w:sz w:val="20"/>
          <w:szCs w:val="20"/>
        </w:rPr>
        <w:t xml:space="preserve"> </w:t>
      </w:r>
      <w:r>
        <w:rPr>
          <w:rFonts w:hint="eastAsia" w:ascii="Times New Roman" w:hAnsi="Times New Roman"/>
          <w:sz w:val="20"/>
          <w:szCs w:val="20"/>
        </w:rPr>
        <w:t>Hence</w:t>
      </w:r>
      <w:r>
        <w:rPr>
          <w:rFonts w:ascii="Times New Roman" w:hAnsi="Times New Roman"/>
          <w:sz w:val="20"/>
          <w:szCs w:val="20"/>
        </w:rPr>
        <w:t>,</w:t>
      </w:r>
      <w:r>
        <w:rPr>
          <w:rFonts w:hint="eastAsia" w:ascii="Times New Roman" w:hAnsi="Times New Roman"/>
          <w:sz w:val="20"/>
          <w:szCs w:val="20"/>
        </w:rPr>
        <w:t xml:space="preserve"> this principle can be reused for PTRS that associated with more than 4 layers uplink transmission. Hence 2 PTRS ports are more preferred. </w:t>
      </w:r>
    </w:p>
    <w:p>
      <w:pPr>
        <w:snapToGrid w:val="0"/>
        <w:spacing w:before="180" w:beforeLines="50" w:after="0" w:line="288" w:lineRule="auto"/>
        <w:jc w:val="both"/>
        <w:rPr>
          <w:rFonts w:ascii="Times New Roman" w:hAnsi="Times New Roman"/>
          <w:i/>
          <w:sz w:val="20"/>
          <w:szCs w:val="20"/>
        </w:rPr>
      </w:pPr>
      <w:bookmarkStart w:id="22" w:name="OLE_LINK6"/>
      <w:r>
        <w:rPr>
          <w:rFonts w:hint="eastAsia" w:ascii="Times New Roman" w:hAnsi="Times New Roman"/>
          <w:b/>
          <w:i/>
          <w:sz w:val="20"/>
          <w:szCs w:val="20"/>
        </w:rPr>
        <w:t>Proposal 7</w:t>
      </w:r>
      <w:r>
        <w:rPr>
          <w:rFonts w:ascii="Times New Roman" w:hAnsi="Times New Roman"/>
          <w:b/>
          <w:i/>
          <w:sz w:val="20"/>
          <w:szCs w:val="20"/>
        </w:rPr>
        <w:t xml:space="preserve">: </w:t>
      </w:r>
      <w:r>
        <w:rPr>
          <w:rFonts w:hint="eastAsia" w:ascii="Times New Roman" w:hAnsi="Times New Roman"/>
          <w:i/>
          <w:sz w:val="20"/>
          <w:szCs w:val="20"/>
        </w:rPr>
        <w:t xml:space="preserve">More than 2 bits should be used for the DMRS port and PTRS port association indication for UL transmission with more than 4 </w:t>
      </w:r>
      <w:r>
        <w:rPr>
          <w:rFonts w:ascii="Times New Roman" w:hAnsi="Times New Roman"/>
          <w:i/>
          <w:sz w:val="20"/>
          <w:szCs w:val="20"/>
        </w:rPr>
        <w:t>layers.</w:t>
      </w:r>
      <w:r>
        <w:rPr>
          <w:rFonts w:hint="eastAsia" w:ascii="Times New Roman" w:hAnsi="Times New Roman"/>
          <w:i/>
          <w:sz w:val="20"/>
          <w:szCs w:val="20"/>
        </w:rPr>
        <w:t xml:space="preserve"> </w:t>
      </w:r>
    </w:p>
    <w:p>
      <w:pPr>
        <w:numPr>
          <w:ilvl w:val="0"/>
          <w:numId w:val="11"/>
        </w:numPr>
        <w:snapToGrid w:val="0"/>
        <w:spacing w:after="10" w:line="288" w:lineRule="auto"/>
        <w:ind w:left="839"/>
        <w:jc w:val="both"/>
        <w:rPr>
          <w:rFonts w:ascii="Times New Roman" w:hAnsi="Times New Roman"/>
          <w:i/>
          <w:sz w:val="20"/>
          <w:szCs w:val="20"/>
        </w:rPr>
      </w:pPr>
      <w:bookmarkStart w:id="23" w:name="OLE_LINK19"/>
      <w:r>
        <w:rPr>
          <w:rFonts w:hint="eastAsia" w:ascii="Times New Roman" w:hAnsi="Times New Roman"/>
          <w:i/>
          <w:sz w:val="20"/>
          <w:szCs w:val="20"/>
        </w:rPr>
        <w:t>Support 3 or 4 bits of the PTRS-DMRS association field in DCI.</w:t>
      </w:r>
    </w:p>
    <w:p>
      <w:pPr>
        <w:numPr>
          <w:ilvl w:val="0"/>
          <w:numId w:val="11"/>
        </w:numPr>
        <w:snapToGrid w:val="0"/>
        <w:spacing w:after="10" w:line="288" w:lineRule="auto"/>
        <w:ind w:left="0" w:firstLine="420"/>
        <w:jc w:val="both"/>
        <w:rPr>
          <w:rFonts w:ascii="Times New Roman" w:hAnsi="Times New Roman"/>
          <w:i/>
          <w:sz w:val="20"/>
          <w:szCs w:val="20"/>
        </w:rPr>
      </w:pPr>
      <w:r>
        <w:rPr>
          <w:rFonts w:hint="eastAsia" w:ascii="Times New Roman" w:hAnsi="Times New Roman"/>
          <w:i/>
          <w:sz w:val="20"/>
          <w:szCs w:val="20"/>
        </w:rPr>
        <w:t>Support 2 PTRS ports for up to 8 layers transmission.</w:t>
      </w:r>
    </w:p>
    <w:bookmarkEnd w:id="7"/>
    <w:bookmarkEnd w:id="8"/>
    <w:bookmarkEnd w:id="9"/>
    <w:bookmarkEnd w:id="22"/>
    <w:bookmarkEnd w:id="23"/>
    <w:p>
      <w:pPr>
        <w:pStyle w:val="2"/>
        <w:snapToGrid w:val="0"/>
        <w:spacing w:before="180" w:beforeLines="50" w:after="180" w:afterLines="50"/>
        <w:ind w:left="0" w:firstLine="0"/>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4" w:name="OLE_LINK11"/>
      <w:bookmarkStart w:id="25" w:name="OLE_LINK10"/>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snapToGrid w:val="0"/>
        <w:spacing w:before="180" w:beforeLines="50" w:after="180" w:afterLines="50" w:line="288" w:lineRule="auto"/>
        <w:jc w:val="both"/>
        <w:rPr>
          <w:rFonts w:ascii="Times New Roman" w:hAnsi="Times New Roman"/>
          <w:bCs/>
          <w:i/>
          <w:sz w:val="20"/>
          <w:szCs w:val="20"/>
        </w:rPr>
      </w:pPr>
      <w:r>
        <w:rPr>
          <w:rFonts w:hint="eastAsia" w:ascii="Times New Roman" w:hAnsi="Times New Roman"/>
          <w:b/>
          <w:i/>
          <w:sz w:val="20"/>
          <w:szCs w:val="20"/>
        </w:rPr>
        <w:t>Proposal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Confirm the working assumption in RAN1#110 meeting, at least Opt.1 should be supported.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b/>
          <w:i/>
          <w:sz w:val="20"/>
          <w:szCs w:val="20"/>
        </w:rPr>
        <w:t>Observation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iCs/>
          <w:sz w:val="20"/>
          <w:szCs w:val="20"/>
        </w:rPr>
        <w:t>For DMRS type 1, DMRS with PRB bundling without mapping the last two REs in the last PRBs performs a little better than two CE windows when the number of scheduled DMRS port in one PRG is odd.</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ascii="Times New Roman" w:hAnsi="Times New Roman"/>
          <w:bCs/>
          <w:i/>
          <w:sz w:val="20"/>
          <w:szCs w:val="20"/>
        </w:rPr>
        <w:t>S</w:t>
      </w:r>
      <w:r>
        <w:rPr>
          <w:rFonts w:hint="eastAsia" w:ascii="Times New Roman" w:hAnsi="Times New Roman"/>
          <w:bCs/>
          <w:i/>
          <w:sz w:val="20"/>
          <w:szCs w:val="20"/>
        </w:rPr>
        <w:t xml:space="preserve">upport Opt.1-2, i.e. FD-OCC with length 4, where </w:t>
      </w:r>
      <w:r>
        <w:rPr>
          <w:rFonts w:hint="eastAsia" w:ascii="Times New Roman" w:hAnsi="Times New Roman"/>
          <w:i/>
          <w:sz w:val="20"/>
          <w:szCs w:val="20"/>
        </w:rPr>
        <w:t>PRB bundling should be supported for type-1 DMRS.</w:t>
      </w:r>
    </w:p>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 xml:space="preserve">For orphan REs in case of </w:t>
      </w:r>
      <w:r>
        <w:rPr>
          <w:rFonts w:hint="eastAsia" w:ascii="Times New Roman" w:hAnsi="Times New Roman"/>
          <w:bCs/>
          <w:iCs/>
          <w:sz w:val="20"/>
          <w:szCs w:val="20"/>
        </w:rPr>
        <w:t xml:space="preserve">length 4 FD-OCC for DMRS type 1, </w:t>
      </w:r>
      <w:r>
        <w:rPr>
          <w:rFonts w:hint="eastAsia" w:ascii="Times New Roman" w:hAnsi="Times New Roman"/>
          <w:i/>
          <w:sz w:val="20"/>
          <w:szCs w:val="20"/>
        </w:rPr>
        <w:t>d</w:t>
      </w:r>
      <w:r>
        <w:rPr>
          <w:rFonts w:ascii="Times New Roman" w:hAnsi="Times New Roman"/>
          <w:i/>
          <w:sz w:val="20"/>
          <w:szCs w:val="20"/>
        </w:rPr>
        <w:t>own</w:t>
      </w:r>
      <w:r>
        <w:rPr>
          <w:rFonts w:hint="eastAsia" w:ascii="Times New Roman" w:hAnsi="Times New Roman"/>
          <w:i/>
          <w:sz w:val="20"/>
          <w:szCs w:val="20"/>
        </w:rPr>
        <w:t>-</w:t>
      </w:r>
      <w:r>
        <w:rPr>
          <w:rFonts w:ascii="Times New Roman" w:hAnsi="Times New Roman"/>
          <w:i/>
          <w:sz w:val="20"/>
          <w:szCs w:val="20"/>
        </w:rPr>
        <w:t>select</w:t>
      </w:r>
      <w:r>
        <w:rPr>
          <w:rFonts w:hint="eastAsia" w:ascii="Times New Roman" w:hAnsi="Times New Roman"/>
          <w:i/>
          <w:sz w:val="20"/>
          <w:szCs w:val="20"/>
        </w:rPr>
        <w:t>ing</w:t>
      </w:r>
      <w:r>
        <w:rPr>
          <w:rFonts w:ascii="Times New Roman" w:hAnsi="Times New Roman"/>
          <w:i/>
          <w:sz w:val="20"/>
          <w:szCs w:val="20"/>
        </w:rPr>
        <w:t xml:space="preserve"> one of </w:t>
      </w:r>
      <w:r>
        <w:rPr>
          <w:rFonts w:hint="eastAsia" w:ascii="Times New Roman" w:hAnsi="Times New Roman"/>
          <w:i/>
          <w:sz w:val="20"/>
          <w:szCs w:val="20"/>
        </w:rPr>
        <w:t>the following alternatives:</w:t>
      </w:r>
    </w:p>
    <w:p>
      <w:pPr>
        <w:numPr>
          <w:ilvl w:val="1"/>
          <w:numId w:val="11"/>
        </w:numPr>
        <w:tabs>
          <w:tab w:val="left" w:pos="420"/>
          <w:tab w:val="clear" w:pos="840"/>
        </w:tabs>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Alt 1:</w:t>
      </w:r>
      <w:r>
        <w:rPr>
          <w:rFonts w:ascii="Times New Roman" w:hAnsi="Times New Roman"/>
          <w:i/>
          <w:sz w:val="20"/>
          <w:szCs w:val="20"/>
        </w:rPr>
        <w:t xml:space="preserve"> R</w:t>
      </w:r>
      <w:r>
        <w:rPr>
          <w:rFonts w:hint="eastAsia" w:ascii="Times New Roman" w:hAnsi="Times New Roman"/>
          <w:i/>
          <w:sz w:val="20"/>
          <w:szCs w:val="20"/>
        </w:rPr>
        <w:t>estrict the scheduled number of PRBs in one PRG to be even;</w:t>
      </w:r>
    </w:p>
    <w:p>
      <w:pPr>
        <w:numPr>
          <w:ilvl w:val="1"/>
          <w:numId w:val="11"/>
        </w:numPr>
        <w:tabs>
          <w:tab w:val="left" w:pos="420"/>
          <w:tab w:val="clear" w:pos="840"/>
        </w:tabs>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Alt 2:</w:t>
      </w:r>
      <w:r>
        <w:rPr>
          <w:rFonts w:ascii="Times New Roman" w:hAnsi="Times New Roman"/>
          <w:i/>
          <w:sz w:val="20"/>
          <w:szCs w:val="20"/>
        </w:rPr>
        <w:t xml:space="preserve"> T</w:t>
      </w:r>
      <w:r>
        <w:rPr>
          <w:rFonts w:hint="eastAsia" w:ascii="Times New Roman" w:hAnsi="Times New Roman"/>
          <w:i/>
          <w:sz w:val="20"/>
          <w:szCs w:val="20"/>
        </w:rPr>
        <w:t>he last two REs of the last PRB are not used for DMRS mapping if the scheduled number of PRB in one PRG is odd.</w:t>
      </w:r>
      <w:r>
        <w:rPr>
          <w:rFonts w:ascii="Times New Roman" w:hAnsi="Times New Roman"/>
          <w:i/>
          <w:sz w:val="20"/>
          <w:szCs w:val="20"/>
        </w:rPr>
        <w:t xml:space="preserve"> </w:t>
      </w:r>
    </w:p>
    <w:p>
      <w:pPr>
        <w:snapToGrid w:val="0"/>
        <w:spacing w:before="10" w:after="10" w:line="288" w:lineRule="auto"/>
        <w:jc w:val="both"/>
        <w:rPr>
          <w:rFonts w:ascii="Times New Roman" w:hAnsi="Times New Roman"/>
          <w:bCs/>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ascii="Times New Roman" w:hAnsi="Times New Roman"/>
          <w:i/>
          <w:sz w:val="20"/>
          <w:szCs w:val="20"/>
        </w:rPr>
        <w:t>T</w:t>
      </w:r>
      <w:r>
        <w:rPr>
          <w:rFonts w:hint="eastAsia" w:ascii="Times New Roman" w:hAnsi="Times New Roman"/>
          <w:i/>
          <w:sz w:val="20"/>
          <w:szCs w:val="20"/>
        </w:rPr>
        <w:t>o increase the number of orthogonal DMRS ports in MU-MIMO</w:t>
      </w:r>
      <w:r>
        <w:rPr>
          <w:rFonts w:hint="eastAsia" w:ascii="Times New Roman" w:hAnsi="Times New Roman"/>
          <w:bCs/>
          <w:i/>
          <w:iCs/>
          <w:sz w:val="20"/>
          <w:szCs w:val="20"/>
        </w:rPr>
        <w:t xml:space="preserve">, TD-OCC on non-continuous OFDM symbols should be supported additionally </w:t>
      </w:r>
      <w:r>
        <w:rPr>
          <w:rFonts w:hint="eastAsia" w:ascii="Times New Roman" w:hAnsi="Times New Roman"/>
          <w:i/>
          <w:sz w:val="20"/>
          <w:szCs w:val="20"/>
        </w:rPr>
        <w:t>i</w:t>
      </w:r>
      <w:r>
        <w:rPr>
          <w:rFonts w:ascii="Times New Roman" w:hAnsi="Times New Roman"/>
          <w:bCs/>
          <w:i/>
          <w:sz w:val="20"/>
          <w:szCs w:val="20"/>
        </w:rPr>
        <w:t>n the scenario of low-speed and high-delay-spread</w:t>
      </w:r>
      <w:r>
        <w:rPr>
          <w:rFonts w:hint="eastAsia" w:ascii="Times New Roman" w:hAnsi="Times New Roman"/>
          <w:bCs/>
          <w:i/>
          <w:sz w:val="20"/>
          <w:szCs w:val="20"/>
        </w:rPr>
        <w:t>.</w:t>
      </w:r>
    </w:p>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If intra-slot frequency hopping is configured, TD-OCC is supported on the hop with two DMRS symbols.</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MU-MIMO between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15 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If Rel-18 DMRS ports are co-scheduled with Rel-15 DMRS in the same CDM group, the OCC of the scheduled Rel-18 DMRS ports should be orthogonal with Rel-15 DMRS ports.</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i/>
          <w:sz w:val="20"/>
          <w:szCs w:val="20"/>
        </w:rPr>
        <w:t>Dynamic indication of legacy DMRS ports and Rel-18 DMRS ports is supported, and different values of the DMRS indication table indicate the DMRS ports are legacy DMRS ports or Rel-18 DMRS ports.</w:t>
      </w:r>
    </w:p>
    <w:p>
      <w:pPr>
        <w:adjustRightInd w:val="0"/>
        <w:snapToGrid w:val="0"/>
        <w:spacing w:before="180" w:beforeLines="50" w:after="10" w:line="288" w:lineRule="auto"/>
        <w:rPr>
          <w:rFonts w:ascii="Times New Roman" w:hAnsi="Times New Roman"/>
          <w:i/>
          <w:sz w:val="20"/>
          <w:szCs w:val="20"/>
          <w:lang w:eastAsia="ja-JP"/>
        </w:rPr>
      </w:pPr>
      <w:r>
        <w:rPr>
          <w:rFonts w:hint="eastAsia" w:ascii="Times New Roman" w:hAnsi="Times New Roman"/>
          <w:b/>
          <w:i/>
          <w:sz w:val="20"/>
          <w:szCs w:val="20"/>
        </w:rPr>
        <w:t>Proposal 6</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support rank = 5,6,7,8 for both DMRS type 1/2, support </w:t>
      </w:r>
      <w:r>
        <w:rPr>
          <w:rFonts w:hint="eastAsia" w:ascii="Times New Roman" w:hAnsi="Times New Roman"/>
          <w:i/>
          <w:sz w:val="20"/>
          <w:szCs w:val="20"/>
        </w:rPr>
        <w:t xml:space="preserve">Rel-15 double-symbol DMRS and Rel-18 </w:t>
      </w:r>
      <w:r>
        <w:rPr>
          <w:rFonts w:ascii="Times New Roman" w:hAnsi="Times New Roman"/>
          <w:i/>
          <w:sz w:val="20"/>
          <w:szCs w:val="20"/>
          <w:lang w:eastAsia="ja-JP"/>
        </w:rPr>
        <w:t>single-symbol</w:t>
      </w:r>
      <w:r>
        <w:rPr>
          <w:rFonts w:hint="eastAsia" w:ascii="Times New Roman" w:hAnsi="Times New Roman"/>
          <w:i/>
          <w:sz w:val="20"/>
          <w:szCs w:val="20"/>
        </w:rPr>
        <w:t xml:space="preserve"> and </w:t>
      </w:r>
      <w:r>
        <w:rPr>
          <w:rFonts w:ascii="Times New Roman" w:hAnsi="Times New Roman"/>
          <w:i/>
          <w:sz w:val="20"/>
          <w:szCs w:val="20"/>
          <w:lang w:eastAsia="ja-JP"/>
        </w:rPr>
        <w:t>double-symbol DMRS.</w:t>
      </w:r>
    </w:p>
    <w:p>
      <w:pPr>
        <w:numPr>
          <w:ilvl w:val="0"/>
          <w:numId w:val="11"/>
        </w:numPr>
        <w:snapToGrid w:val="0"/>
        <w:spacing w:before="10" w:after="10" w:line="288" w:lineRule="auto"/>
        <w:jc w:val="both"/>
        <w:rPr>
          <w:rFonts w:ascii="Times New Roman" w:hAnsi="Times New Roman"/>
          <w:i/>
          <w:sz w:val="20"/>
          <w:szCs w:val="20"/>
        </w:rPr>
      </w:pPr>
      <w:r>
        <w:rPr>
          <w:rFonts w:hint="eastAsia" w:ascii="Times New Roman" w:hAnsi="Times New Roman"/>
          <w:i/>
          <w:sz w:val="20"/>
          <w:szCs w:val="20"/>
        </w:rPr>
        <w:t>FFS: whether</w:t>
      </w:r>
      <w:r>
        <w:rPr>
          <w:rFonts w:ascii="Times New Roman" w:hAnsi="Times New Roman"/>
          <w:i/>
          <w:sz w:val="20"/>
          <w:szCs w:val="20"/>
        </w:rPr>
        <w:t>/how</w:t>
      </w:r>
      <w:r>
        <w:rPr>
          <w:rFonts w:hint="eastAsia" w:ascii="Times New Roman" w:hAnsi="Times New Roman"/>
          <w:i/>
          <w:sz w:val="20"/>
          <w:szCs w:val="20"/>
        </w:rPr>
        <w:t xml:space="preserve">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Rel-18 DMRS</w:t>
      </w:r>
      <w:r>
        <w:rPr>
          <w:rFonts w:ascii="Times New Roman" w:hAnsi="Times New Roman"/>
          <w:i/>
          <w:sz w:val="20"/>
          <w:szCs w:val="20"/>
        </w:rPr>
        <w:t xml:space="preserve"> in such case</w:t>
      </w:r>
      <w:r>
        <w:rPr>
          <w:rFonts w:hint="eastAsia" w:ascii="Times New Roman" w:hAnsi="Times New Roman"/>
          <w:i/>
          <w:sz w:val="20"/>
          <w:szCs w:val="20"/>
        </w:rPr>
        <w:t xml:space="preserve"> .</w:t>
      </w:r>
    </w:p>
    <w:p>
      <w:pPr>
        <w:snapToGrid w:val="0"/>
        <w:spacing w:before="180" w:beforeLines="50" w:after="0" w:line="288" w:lineRule="auto"/>
        <w:jc w:val="both"/>
        <w:rPr>
          <w:rFonts w:ascii="Times New Roman" w:hAnsi="Times New Roman"/>
          <w:i/>
          <w:sz w:val="20"/>
          <w:szCs w:val="20"/>
        </w:rPr>
      </w:pPr>
      <w:r>
        <w:rPr>
          <w:rFonts w:hint="eastAsia" w:ascii="Times New Roman" w:hAnsi="Times New Roman"/>
          <w:b/>
          <w:i/>
          <w:sz w:val="20"/>
          <w:szCs w:val="20"/>
        </w:rPr>
        <w:t>Proposal 7</w:t>
      </w:r>
      <w:r>
        <w:rPr>
          <w:rFonts w:ascii="Times New Roman" w:hAnsi="Times New Roman"/>
          <w:b/>
          <w:i/>
          <w:sz w:val="20"/>
          <w:szCs w:val="20"/>
        </w:rPr>
        <w:t xml:space="preserve">: </w:t>
      </w:r>
      <w:r>
        <w:rPr>
          <w:rFonts w:hint="eastAsia" w:ascii="Times New Roman" w:hAnsi="Times New Roman"/>
          <w:i/>
          <w:sz w:val="20"/>
          <w:szCs w:val="20"/>
        </w:rPr>
        <w:t xml:space="preserve">More than 2 bits should be used for the DMRS port and PTRS port association indication for UL transmission with more than 4 </w:t>
      </w:r>
      <w:r>
        <w:rPr>
          <w:rFonts w:ascii="Times New Roman" w:hAnsi="Times New Roman"/>
          <w:i/>
          <w:sz w:val="20"/>
          <w:szCs w:val="20"/>
        </w:rPr>
        <w:t>layers.</w:t>
      </w:r>
      <w:r>
        <w:rPr>
          <w:rFonts w:hint="eastAsia" w:ascii="Times New Roman" w:hAnsi="Times New Roman"/>
          <w:i/>
          <w:sz w:val="20"/>
          <w:szCs w:val="20"/>
        </w:rPr>
        <w:t xml:space="preserve"> </w:t>
      </w:r>
    </w:p>
    <w:p>
      <w:pPr>
        <w:numPr>
          <w:ilvl w:val="0"/>
          <w:numId w:val="11"/>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3 or 4 bits of the PTRS-DMRS association field in DCI.</w:t>
      </w:r>
    </w:p>
    <w:p>
      <w:pPr>
        <w:numPr>
          <w:ilvl w:val="0"/>
          <w:numId w:val="11"/>
        </w:numPr>
        <w:snapToGrid w:val="0"/>
        <w:spacing w:after="10" w:line="288" w:lineRule="auto"/>
        <w:ind w:left="0" w:firstLine="420"/>
        <w:jc w:val="both"/>
        <w:rPr>
          <w:rFonts w:ascii="Times New Roman" w:hAnsi="Times New Roman"/>
          <w:i/>
          <w:sz w:val="20"/>
          <w:szCs w:val="20"/>
        </w:rPr>
      </w:pPr>
      <w:r>
        <w:rPr>
          <w:rFonts w:hint="eastAsia" w:ascii="Times New Roman" w:hAnsi="Times New Roman"/>
          <w:i/>
          <w:sz w:val="20"/>
          <w:szCs w:val="20"/>
        </w:rPr>
        <w:t>Support 2 PTRS ports for up to 8 layers transmission.</w:t>
      </w:r>
    </w:p>
    <w:p>
      <w:pPr>
        <w:pStyle w:val="2"/>
        <w:snapToGrid w:val="0"/>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24"/>
    <w:bookmarkEnd w:id="25"/>
    <w:p>
      <w:pPr>
        <w:pStyle w:val="88"/>
        <w:numPr>
          <w:ilvl w:val="0"/>
          <w:numId w:val="15"/>
        </w:numPr>
        <w:snapToGrid w:val="0"/>
        <w:rPr>
          <w:bCs/>
          <w:sz w:val="20"/>
          <w:szCs w:val="20"/>
        </w:rPr>
      </w:pPr>
      <w:r>
        <w:rPr>
          <w:bCs/>
          <w:sz w:val="20"/>
          <w:szCs w:val="20"/>
        </w:rPr>
        <w:t>RP-213598, New WID: MIMO Evolution for Downlink and Uplink, Samsung (Moderator)</w:t>
      </w:r>
    </w:p>
    <w:p>
      <w:pPr>
        <w:pStyle w:val="88"/>
        <w:numPr>
          <w:ilvl w:val="0"/>
          <w:numId w:val="15"/>
        </w:numPr>
        <w:snapToGrid w:val="0"/>
        <w:rPr>
          <w:bCs/>
          <w:sz w:val="20"/>
          <w:szCs w:val="20"/>
        </w:rPr>
      </w:pPr>
      <w:bookmarkStart w:id="26" w:name="OLE_LINK20"/>
      <w:r>
        <w:rPr>
          <w:rFonts w:hint="eastAsia"/>
          <w:bCs/>
          <w:sz w:val="20"/>
          <w:szCs w:val="20"/>
        </w:rPr>
        <w:t>Chair's notes RAN1#109-e v15,</w:t>
      </w:r>
      <w:bookmarkStart w:id="27" w:name="OLE_LINK9"/>
      <w:r>
        <w:rPr>
          <w:rFonts w:hint="eastAsia"/>
          <w:bCs/>
          <w:sz w:val="20"/>
          <w:szCs w:val="20"/>
        </w:rPr>
        <w:t xml:space="preserve"> </w:t>
      </w:r>
      <w:r>
        <w:rPr>
          <w:rFonts w:hint="eastAsia"/>
          <w:sz w:val="20"/>
          <w:szCs w:val="20"/>
        </w:rPr>
        <w:t>May 9</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2022,</w:t>
      </w:r>
      <w:bookmarkEnd w:id="27"/>
      <w:r>
        <w:rPr>
          <w:rFonts w:hint="eastAsia"/>
          <w:sz w:val="20"/>
          <w:szCs w:val="20"/>
        </w:rPr>
        <w:t>3GPP</w:t>
      </w:r>
    </w:p>
    <w:bookmarkEnd w:id="26"/>
    <w:p>
      <w:pPr>
        <w:pStyle w:val="88"/>
        <w:numPr>
          <w:ilvl w:val="0"/>
          <w:numId w:val="15"/>
        </w:numPr>
        <w:snapToGrid w:val="0"/>
        <w:rPr>
          <w:bCs/>
          <w:sz w:val="20"/>
          <w:szCs w:val="20"/>
        </w:rPr>
      </w:pPr>
      <w:r>
        <w:rPr>
          <w:rFonts w:hint="eastAsia"/>
          <w:bCs/>
          <w:sz w:val="20"/>
          <w:szCs w:val="20"/>
        </w:rPr>
        <w:t xml:space="preserve">Chair's notes RAN1#110 v17, </w:t>
      </w:r>
      <w:r>
        <w:rPr>
          <w:rFonts w:hint="eastAsia"/>
          <w:sz w:val="20"/>
          <w:szCs w:val="20"/>
        </w:rPr>
        <w:t>Aug 22</w:t>
      </w:r>
      <w:r>
        <w:rPr>
          <w:rFonts w:hint="eastAsia"/>
          <w:sz w:val="20"/>
          <w:szCs w:val="20"/>
          <w:vertAlign w:val="superscript"/>
        </w:rPr>
        <w:t>th</w:t>
      </w:r>
      <w:r>
        <w:rPr>
          <w:rFonts w:hint="eastAsia"/>
          <w:sz w:val="20"/>
          <w:szCs w:val="20"/>
        </w:rPr>
        <w:t>-26</w:t>
      </w:r>
      <w:r>
        <w:rPr>
          <w:rFonts w:hint="eastAsia"/>
          <w:sz w:val="20"/>
          <w:szCs w:val="20"/>
          <w:vertAlign w:val="superscript"/>
        </w:rPr>
        <w:t>th</w:t>
      </w:r>
      <w:r>
        <w:rPr>
          <w:rFonts w:hint="eastAsia"/>
          <w:sz w:val="20"/>
          <w:szCs w:val="20"/>
        </w:rPr>
        <w:t>, 2022,3GPP</w:t>
      </w:r>
    </w:p>
    <w:p>
      <w:pPr>
        <w:pStyle w:val="88"/>
        <w:numPr>
          <w:ilvl w:val="0"/>
          <w:numId w:val="15"/>
        </w:numPr>
        <w:snapToGrid w:val="0"/>
        <w:rPr>
          <w:bCs/>
          <w:sz w:val="20"/>
          <w:szCs w:val="20"/>
        </w:rPr>
      </w:pPr>
      <w:r>
        <w:rPr>
          <w:rFonts w:hint="eastAsia"/>
          <w:bCs/>
          <w:sz w:val="20"/>
          <w:szCs w:val="20"/>
        </w:rPr>
        <w:t>R1-2205921 DMRS enhancement for UL/DL MU-MIMO and 8 Tx UL SU-MIMO, ZTE</w:t>
      </w:r>
    </w:p>
    <w:p>
      <w:pPr>
        <w:pStyle w:val="2"/>
        <w:snapToGrid w:val="0"/>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b/>
                <w:bCs/>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b/>
                <w:bCs/>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4 GHz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 xml:space="preserve">Subcarrier spacing </w:t>
            </w:r>
            <w:r>
              <w:rPr>
                <w:rFonts w:ascii="Times New Roman" w:hAnsi="Times New Roman"/>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30kHz</w:t>
            </w:r>
            <w:r>
              <w:rPr>
                <w:rFonts w:ascii="Times New Roman" w:hAnsi="Times New Roman"/>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30ns, 300ns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 xml:space="preserve">Baseline: 3km/h, 30km/h , 60km/h,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MU-MIMO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- 16 ports: (M, N, P, Mg, Ng, Mp, Np) = (8,4,2,1,1,2,4),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2RX: (M, N, P, Mg, Ng, Mp, Np) = (1,1,2,1,1,1,1), (dH,dV) = (0.5, 0.5)λ for rank 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1 per UE ,rank fixed</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Precoding and precoding granularity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SVD based sub-band precoding (with 4PRB precoding granularity) on ideal channel knowledge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hint="default" w:ascii="Times New Roman" w:hAnsi="Times New Roman" w:eastAsiaTheme="minorEastAsia"/>
                <w:szCs w:val="20"/>
                <w:lang w:val="en-US" w:eastAsia="zh-CN"/>
              </w:rPr>
            </w:pPr>
            <w:r>
              <w:rPr>
                <w:rFonts w:ascii="Times New Roman" w:hAnsi="Times New Roman"/>
                <w:szCs w:val="20"/>
              </w:rPr>
              <w:t xml:space="preserve">Type </w:t>
            </w:r>
            <w:r>
              <w:rPr>
                <w:rFonts w:hint="eastAsia" w:ascii="Times New Roman" w:hAnsi="Times New Roman"/>
                <w:szCs w:val="20"/>
                <w:lang w:val="en-US" w:eastAsia="zh-CN"/>
              </w:rPr>
              <w:t>1</w:t>
            </w:r>
            <w:bookmarkStart w:id="28" w:name="_GoBack"/>
            <w:bookmarkEnd w:id="28"/>
            <w:r>
              <w:rPr>
                <w:rFonts w:ascii="Times New Roman" w:hAnsi="Times New Roman"/>
                <w:szCs w:val="20"/>
              </w:rPr>
              <w:t>E </w:t>
            </w:r>
            <w:r>
              <w:rPr>
                <w:rFonts w:hint="eastAsia" w:ascii="Times New Roman" w:hAnsi="Times New Roman"/>
                <w:szCs w:val="20"/>
                <w:lang w:val="en-US" w:eastAsia="zh-CN"/>
              </w:rPr>
              <w:t xml:space="preserve">and </w:t>
            </w:r>
            <w:r>
              <w:rPr>
                <w:rFonts w:ascii="Times New Roman" w:hAnsi="Times New Roman"/>
                <w:szCs w:val="20"/>
              </w:rPr>
              <w:t>Type 2E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eastAsia="Times New Roman"/>
                <w:szCs w:val="20"/>
              </w:rPr>
              <w:t>Single 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Mapping type A (slot based) for PDSCH.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Fixed modulation, coding and rank for BLER evaluation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Off </w:t>
            </w:r>
          </w:p>
          <w:p>
            <w:pPr>
              <w:spacing w:after="0" w:line="240" w:lineRule="auto"/>
              <w:rPr>
                <w:rFonts w:ascii="Times New Roman" w:hAnsi="Times New Roman"/>
                <w:szCs w:val="20"/>
              </w:rPr>
            </w:pPr>
            <w:r>
              <w:rPr>
                <w:rFonts w:ascii="Times New Roman" w:hAnsi="Times New Roman"/>
                <w:szCs w:val="20"/>
              </w:rPr>
              <w:t>Optional: On (HARQ with max. 4 re-transmissions) for throughput evaluation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No radio impairments  </w:t>
            </w:r>
          </w:p>
        </w:tc>
      </w:tr>
    </w:tbl>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1AC86B"/>
    <w:multiLevelType w:val="singleLevel"/>
    <w:tmpl w:val="B21AC86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C898F336"/>
    <w:multiLevelType w:val="multilevel"/>
    <w:tmpl w:val="C898F336"/>
    <w:lvl w:ilvl="0" w:tentative="0">
      <w:start w:val="1"/>
      <w:numFmt w:val="bullet"/>
      <w:lvlText w:val="-"/>
      <w:lvlJc w:val="left"/>
      <w:pPr>
        <w:tabs>
          <w:tab w:val="left" w:pos="420"/>
        </w:tabs>
        <w:ind w:left="840" w:hanging="420"/>
      </w:pPr>
      <w:rPr>
        <w:rFonts w:hint="default" w:ascii="微软雅黑" w:hAnsi="微软雅黑" w:eastAsia="微软雅黑" w:cs="微软雅黑"/>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D0C7CF10"/>
    <w:multiLevelType w:val="singleLevel"/>
    <w:tmpl w:val="D0C7CF10"/>
    <w:lvl w:ilvl="0" w:tentative="0">
      <w:start w:val="5"/>
      <w:numFmt w:val="decimal"/>
      <w:suff w:val="space"/>
      <w:lvlText w:val="%1."/>
      <w:lvlJc w:val="left"/>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FFCECA4B"/>
    <w:multiLevelType w:val="singleLevel"/>
    <w:tmpl w:val="FFCECA4B"/>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17222DEE"/>
    <w:multiLevelType w:val="singleLevel"/>
    <w:tmpl w:val="17222DEE"/>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8D0357A"/>
    <w:multiLevelType w:val="singleLevel"/>
    <w:tmpl w:val="18D0357A"/>
    <w:lvl w:ilvl="0" w:tentative="0">
      <w:start w:val="1"/>
      <w:numFmt w:val="decimal"/>
      <w:suff w:val="space"/>
      <w:lvlText w:val="%1)"/>
      <w:lvlJc w:val="left"/>
    </w:lvl>
  </w:abstractNum>
  <w:abstractNum w:abstractNumId="7">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46C65D9C"/>
    <w:multiLevelType w:val="multilevel"/>
    <w:tmpl w:val="46C65D9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eastAsia="MS Mincho" w:cs="Times New Roman"/>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C80033E"/>
    <w:multiLevelType w:val="singleLevel"/>
    <w:tmpl w:val="5C80033E"/>
    <w:lvl w:ilvl="0" w:tentative="0">
      <w:start w:val="1"/>
      <w:numFmt w:val="bullet"/>
      <w:lvlText w:val="-"/>
      <w:lvlJc w:val="left"/>
      <w:pPr>
        <w:ind w:left="420" w:hanging="420"/>
      </w:pPr>
      <w:rPr>
        <w:rFonts w:hint="default" w:ascii="微软雅黑" w:hAnsi="微软雅黑" w:eastAsia="微软雅黑" w:cs="微软雅黑"/>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8"/>
  </w:num>
  <w:num w:numId="3">
    <w:abstractNumId w:val="2"/>
  </w:num>
  <w:num w:numId="4">
    <w:abstractNumId w:val="7"/>
  </w:num>
  <w:num w:numId="5">
    <w:abstractNumId w:val="9"/>
  </w:num>
  <w:num w:numId="6">
    <w:abstractNumId w:val="10"/>
  </w:num>
  <w:num w:numId="7">
    <w:abstractNumId w:val="11"/>
  </w:num>
  <w:num w:numId="8">
    <w:abstractNumId w:val="0"/>
  </w:num>
  <w:num w:numId="9">
    <w:abstractNumId w:val="4"/>
  </w:num>
  <w:num w:numId="10">
    <w:abstractNumId w:val="12"/>
  </w:num>
  <w:num w:numId="11">
    <w:abstractNumId w:val="1"/>
  </w:num>
  <w:num w:numId="12">
    <w:abstractNumId w:val="6"/>
  </w:num>
  <w:num w:numId="13">
    <w:abstractNumId w:val="14"/>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4DB"/>
    <w:rsid w:val="016E34CA"/>
    <w:rsid w:val="01701670"/>
    <w:rsid w:val="0171562A"/>
    <w:rsid w:val="01742CDF"/>
    <w:rsid w:val="0176526D"/>
    <w:rsid w:val="017729EB"/>
    <w:rsid w:val="01780D5C"/>
    <w:rsid w:val="01787308"/>
    <w:rsid w:val="01795231"/>
    <w:rsid w:val="017B5EC6"/>
    <w:rsid w:val="017D0A9F"/>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B4ADA"/>
    <w:rsid w:val="01FD0A52"/>
    <w:rsid w:val="01FD363E"/>
    <w:rsid w:val="020012D6"/>
    <w:rsid w:val="02070D9C"/>
    <w:rsid w:val="020A55DB"/>
    <w:rsid w:val="020A7FD5"/>
    <w:rsid w:val="020B3BFF"/>
    <w:rsid w:val="020D2FD3"/>
    <w:rsid w:val="021038F9"/>
    <w:rsid w:val="0211297E"/>
    <w:rsid w:val="02135E22"/>
    <w:rsid w:val="02157D0E"/>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94CEF"/>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1831"/>
    <w:rsid w:val="046D380D"/>
    <w:rsid w:val="046E714F"/>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1135E"/>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411D9"/>
    <w:rsid w:val="067458C8"/>
    <w:rsid w:val="06787FB1"/>
    <w:rsid w:val="067A0082"/>
    <w:rsid w:val="067C70F8"/>
    <w:rsid w:val="067E49F6"/>
    <w:rsid w:val="067F3FA8"/>
    <w:rsid w:val="068275F9"/>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91B44"/>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3D8E"/>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7D6DB6"/>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37BFE"/>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36891"/>
    <w:rsid w:val="093677EB"/>
    <w:rsid w:val="093949AD"/>
    <w:rsid w:val="093A5A26"/>
    <w:rsid w:val="093B5A8B"/>
    <w:rsid w:val="093D0096"/>
    <w:rsid w:val="093D5FDF"/>
    <w:rsid w:val="094567E4"/>
    <w:rsid w:val="0946195E"/>
    <w:rsid w:val="0946305C"/>
    <w:rsid w:val="09493002"/>
    <w:rsid w:val="094C661F"/>
    <w:rsid w:val="094E0A67"/>
    <w:rsid w:val="0954740E"/>
    <w:rsid w:val="09597734"/>
    <w:rsid w:val="095B7D7E"/>
    <w:rsid w:val="095C5C89"/>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81F1A"/>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366B5"/>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C6E49"/>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263F4"/>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505F3"/>
    <w:rsid w:val="0B8A6A06"/>
    <w:rsid w:val="0B8B3A2B"/>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1788A"/>
    <w:rsid w:val="0BE32C06"/>
    <w:rsid w:val="0BE879AE"/>
    <w:rsid w:val="0BE87E03"/>
    <w:rsid w:val="0BE94EB9"/>
    <w:rsid w:val="0BEC24ED"/>
    <w:rsid w:val="0BED5C90"/>
    <w:rsid w:val="0BEF777C"/>
    <w:rsid w:val="0BF54038"/>
    <w:rsid w:val="0BF92B91"/>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3D75"/>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136C"/>
    <w:rsid w:val="0CB6695E"/>
    <w:rsid w:val="0CB87B2B"/>
    <w:rsid w:val="0CBF3DD1"/>
    <w:rsid w:val="0CBF4267"/>
    <w:rsid w:val="0CCD0BC1"/>
    <w:rsid w:val="0CCE5EB0"/>
    <w:rsid w:val="0CD046CA"/>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419E9"/>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BD5665"/>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A4621"/>
    <w:rsid w:val="0DEE2354"/>
    <w:rsid w:val="0DF42B16"/>
    <w:rsid w:val="0DF91C50"/>
    <w:rsid w:val="0DF95E14"/>
    <w:rsid w:val="0DFB445F"/>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A2F8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E3224"/>
    <w:rsid w:val="10C35654"/>
    <w:rsid w:val="10C36361"/>
    <w:rsid w:val="10C93451"/>
    <w:rsid w:val="10D35981"/>
    <w:rsid w:val="10D704FD"/>
    <w:rsid w:val="10D83CD4"/>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95DB7"/>
    <w:rsid w:val="114A19F5"/>
    <w:rsid w:val="114B2327"/>
    <w:rsid w:val="114B246A"/>
    <w:rsid w:val="114B7970"/>
    <w:rsid w:val="11506598"/>
    <w:rsid w:val="11537076"/>
    <w:rsid w:val="11566C12"/>
    <w:rsid w:val="11573D69"/>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4D1C"/>
    <w:rsid w:val="12540DA1"/>
    <w:rsid w:val="125479A9"/>
    <w:rsid w:val="125B084E"/>
    <w:rsid w:val="12612D93"/>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639DE"/>
    <w:rsid w:val="13F775B3"/>
    <w:rsid w:val="13F92CC0"/>
    <w:rsid w:val="13FE02DC"/>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3294"/>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03F84"/>
    <w:rsid w:val="14654D1B"/>
    <w:rsid w:val="14687805"/>
    <w:rsid w:val="14690739"/>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D7803"/>
    <w:rsid w:val="148E4928"/>
    <w:rsid w:val="14963D9A"/>
    <w:rsid w:val="149746A4"/>
    <w:rsid w:val="14997436"/>
    <w:rsid w:val="14A21257"/>
    <w:rsid w:val="14A5629F"/>
    <w:rsid w:val="14AA0A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4CD9"/>
    <w:rsid w:val="14FB5F43"/>
    <w:rsid w:val="15023202"/>
    <w:rsid w:val="1504739B"/>
    <w:rsid w:val="150721FB"/>
    <w:rsid w:val="150725F6"/>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03D0F"/>
    <w:rsid w:val="156103E7"/>
    <w:rsid w:val="15635D03"/>
    <w:rsid w:val="15703F98"/>
    <w:rsid w:val="15707C42"/>
    <w:rsid w:val="15746741"/>
    <w:rsid w:val="157723EB"/>
    <w:rsid w:val="157876E1"/>
    <w:rsid w:val="15792A24"/>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9485C"/>
    <w:rsid w:val="159A0A7B"/>
    <w:rsid w:val="159A616F"/>
    <w:rsid w:val="15A22366"/>
    <w:rsid w:val="15A63099"/>
    <w:rsid w:val="15A970F2"/>
    <w:rsid w:val="15AA7715"/>
    <w:rsid w:val="15AC1E89"/>
    <w:rsid w:val="15AC1F1E"/>
    <w:rsid w:val="15AD3AEC"/>
    <w:rsid w:val="15B02021"/>
    <w:rsid w:val="15B274DC"/>
    <w:rsid w:val="15B360F1"/>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C3BD2"/>
    <w:rsid w:val="166D0B60"/>
    <w:rsid w:val="167457C0"/>
    <w:rsid w:val="1675529E"/>
    <w:rsid w:val="16755839"/>
    <w:rsid w:val="16764363"/>
    <w:rsid w:val="167E3964"/>
    <w:rsid w:val="167F4E63"/>
    <w:rsid w:val="16837FDA"/>
    <w:rsid w:val="1684192E"/>
    <w:rsid w:val="168B1464"/>
    <w:rsid w:val="168B3112"/>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02A6D"/>
    <w:rsid w:val="1701453A"/>
    <w:rsid w:val="170254B7"/>
    <w:rsid w:val="17036CB3"/>
    <w:rsid w:val="170524AD"/>
    <w:rsid w:val="170945A3"/>
    <w:rsid w:val="170976C9"/>
    <w:rsid w:val="170D6B49"/>
    <w:rsid w:val="171458E9"/>
    <w:rsid w:val="171476E9"/>
    <w:rsid w:val="17191FB1"/>
    <w:rsid w:val="171B7E32"/>
    <w:rsid w:val="171C44F8"/>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D479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41F6F"/>
    <w:rsid w:val="17855600"/>
    <w:rsid w:val="17860A46"/>
    <w:rsid w:val="178A208F"/>
    <w:rsid w:val="178A3414"/>
    <w:rsid w:val="178C0113"/>
    <w:rsid w:val="178D1B35"/>
    <w:rsid w:val="178D6858"/>
    <w:rsid w:val="178F5437"/>
    <w:rsid w:val="17913304"/>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EE3A14"/>
    <w:rsid w:val="18F31374"/>
    <w:rsid w:val="18F324CC"/>
    <w:rsid w:val="18F44372"/>
    <w:rsid w:val="18F57DBA"/>
    <w:rsid w:val="18F66DE3"/>
    <w:rsid w:val="18F76747"/>
    <w:rsid w:val="18F92917"/>
    <w:rsid w:val="18FA727E"/>
    <w:rsid w:val="18FA7D3B"/>
    <w:rsid w:val="18FC5F40"/>
    <w:rsid w:val="190071DD"/>
    <w:rsid w:val="19010A47"/>
    <w:rsid w:val="19015F39"/>
    <w:rsid w:val="190201A1"/>
    <w:rsid w:val="19052326"/>
    <w:rsid w:val="19087E5A"/>
    <w:rsid w:val="190A632C"/>
    <w:rsid w:val="190B5982"/>
    <w:rsid w:val="190E24A2"/>
    <w:rsid w:val="190F1397"/>
    <w:rsid w:val="190F246E"/>
    <w:rsid w:val="1910107B"/>
    <w:rsid w:val="191672E7"/>
    <w:rsid w:val="191C0F5C"/>
    <w:rsid w:val="192125F0"/>
    <w:rsid w:val="1922231E"/>
    <w:rsid w:val="1925257B"/>
    <w:rsid w:val="19275A0E"/>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6E88"/>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2B3A"/>
    <w:rsid w:val="1A3B623D"/>
    <w:rsid w:val="1A3B76BE"/>
    <w:rsid w:val="1A3D274F"/>
    <w:rsid w:val="1A3F4787"/>
    <w:rsid w:val="1A421660"/>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831D07"/>
    <w:rsid w:val="1A8469A0"/>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02702"/>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85AE3"/>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B7654"/>
    <w:rsid w:val="1C4E6DE1"/>
    <w:rsid w:val="1C5124C4"/>
    <w:rsid w:val="1C525D8A"/>
    <w:rsid w:val="1C553AF0"/>
    <w:rsid w:val="1C55783B"/>
    <w:rsid w:val="1C600A56"/>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4179BE"/>
    <w:rsid w:val="1D42232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2A24"/>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74620"/>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DA0262"/>
    <w:rsid w:val="1EE133D1"/>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029F7"/>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82783"/>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3527"/>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10EC1"/>
    <w:rsid w:val="21824E02"/>
    <w:rsid w:val="21830FF3"/>
    <w:rsid w:val="21836721"/>
    <w:rsid w:val="218414ED"/>
    <w:rsid w:val="21893D10"/>
    <w:rsid w:val="218E3E07"/>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A1094"/>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851DB"/>
    <w:rsid w:val="233D00E7"/>
    <w:rsid w:val="233F4DCF"/>
    <w:rsid w:val="23434E07"/>
    <w:rsid w:val="23451D8D"/>
    <w:rsid w:val="23485BD1"/>
    <w:rsid w:val="2350118C"/>
    <w:rsid w:val="23510955"/>
    <w:rsid w:val="23550E3B"/>
    <w:rsid w:val="23554CB9"/>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EE3973"/>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D63F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903060"/>
    <w:rsid w:val="24956889"/>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6398E"/>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A2B31"/>
    <w:rsid w:val="25AE4BB6"/>
    <w:rsid w:val="25B01C96"/>
    <w:rsid w:val="25BA5FD6"/>
    <w:rsid w:val="25BC5A7D"/>
    <w:rsid w:val="25BF01BE"/>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C34C5"/>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C3727"/>
    <w:rsid w:val="26FE5EF3"/>
    <w:rsid w:val="27007DB1"/>
    <w:rsid w:val="27023FD8"/>
    <w:rsid w:val="270268FC"/>
    <w:rsid w:val="27074420"/>
    <w:rsid w:val="270A184E"/>
    <w:rsid w:val="270A391F"/>
    <w:rsid w:val="270B3BA8"/>
    <w:rsid w:val="27115F5E"/>
    <w:rsid w:val="27130CD0"/>
    <w:rsid w:val="271438F4"/>
    <w:rsid w:val="27146B11"/>
    <w:rsid w:val="27181BBE"/>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60839"/>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11B84"/>
    <w:rsid w:val="28D36789"/>
    <w:rsid w:val="28D56FEF"/>
    <w:rsid w:val="28D773A2"/>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37EF7"/>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72BC0"/>
    <w:rsid w:val="2BCA539C"/>
    <w:rsid w:val="2BD035A4"/>
    <w:rsid w:val="2BD3485D"/>
    <w:rsid w:val="2BD70D04"/>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6B69E2"/>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243DE"/>
    <w:rsid w:val="2CE803D3"/>
    <w:rsid w:val="2CE85007"/>
    <w:rsid w:val="2CEE15E1"/>
    <w:rsid w:val="2CEF416B"/>
    <w:rsid w:val="2CF06A3C"/>
    <w:rsid w:val="2CF238F5"/>
    <w:rsid w:val="2CF26F5B"/>
    <w:rsid w:val="2CF9058E"/>
    <w:rsid w:val="2CF911FA"/>
    <w:rsid w:val="2CF976D3"/>
    <w:rsid w:val="2CFF086A"/>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C59C4"/>
    <w:rsid w:val="2D405098"/>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2DF1"/>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B01C4"/>
    <w:rsid w:val="2E8D356C"/>
    <w:rsid w:val="2E9101F7"/>
    <w:rsid w:val="2E9326A8"/>
    <w:rsid w:val="2E9344BB"/>
    <w:rsid w:val="2E962627"/>
    <w:rsid w:val="2E973E43"/>
    <w:rsid w:val="2E9C1E7A"/>
    <w:rsid w:val="2EA15B6C"/>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EE6C8A"/>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95488"/>
    <w:rsid w:val="2F6051BD"/>
    <w:rsid w:val="2F66155E"/>
    <w:rsid w:val="2F682CC8"/>
    <w:rsid w:val="2F697088"/>
    <w:rsid w:val="2F6C6EFD"/>
    <w:rsid w:val="2F6E52E8"/>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1D1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331CF"/>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3EAA"/>
    <w:rsid w:val="318E6312"/>
    <w:rsid w:val="31924B17"/>
    <w:rsid w:val="31951990"/>
    <w:rsid w:val="319A1786"/>
    <w:rsid w:val="319B2E7D"/>
    <w:rsid w:val="31A226AA"/>
    <w:rsid w:val="31A77430"/>
    <w:rsid w:val="31A85D10"/>
    <w:rsid w:val="31AD726B"/>
    <w:rsid w:val="31B17FEA"/>
    <w:rsid w:val="31B2657D"/>
    <w:rsid w:val="31B36DA6"/>
    <w:rsid w:val="31B76813"/>
    <w:rsid w:val="31BA34F9"/>
    <w:rsid w:val="31BC226A"/>
    <w:rsid w:val="31BC7D1D"/>
    <w:rsid w:val="31C0715C"/>
    <w:rsid w:val="31C14F32"/>
    <w:rsid w:val="31C4412F"/>
    <w:rsid w:val="31C52817"/>
    <w:rsid w:val="31C62574"/>
    <w:rsid w:val="31C90862"/>
    <w:rsid w:val="31CB3016"/>
    <w:rsid w:val="31CD3CA4"/>
    <w:rsid w:val="31D11F85"/>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35F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3B08"/>
    <w:rsid w:val="325962B9"/>
    <w:rsid w:val="325A0237"/>
    <w:rsid w:val="325C155E"/>
    <w:rsid w:val="325E2BBD"/>
    <w:rsid w:val="32603716"/>
    <w:rsid w:val="32667CE0"/>
    <w:rsid w:val="326C6CF3"/>
    <w:rsid w:val="326F2F5D"/>
    <w:rsid w:val="32743DEB"/>
    <w:rsid w:val="3275252B"/>
    <w:rsid w:val="32756405"/>
    <w:rsid w:val="32791354"/>
    <w:rsid w:val="3279408A"/>
    <w:rsid w:val="327A01BF"/>
    <w:rsid w:val="327C6750"/>
    <w:rsid w:val="327E4D99"/>
    <w:rsid w:val="327E6D1B"/>
    <w:rsid w:val="327F04D7"/>
    <w:rsid w:val="32812AE7"/>
    <w:rsid w:val="328B52E1"/>
    <w:rsid w:val="328F15CB"/>
    <w:rsid w:val="329954CB"/>
    <w:rsid w:val="329B6717"/>
    <w:rsid w:val="32A03CF0"/>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3705F"/>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90367"/>
    <w:rsid w:val="345A0537"/>
    <w:rsid w:val="345B7068"/>
    <w:rsid w:val="345C4D68"/>
    <w:rsid w:val="345D758F"/>
    <w:rsid w:val="34631782"/>
    <w:rsid w:val="34644217"/>
    <w:rsid w:val="3465029D"/>
    <w:rsid w:val="3466773F"/>
    <w:rsid w:val="346A1BB2"/>
    <w:rsid w:val="346A6125"/>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0EE2"/>
    <w:rsid w:val="349D4C3A"/>
    <w:rsid w:val="34A139B0"/>
    <w:rsid w:val="34A14FAB"/>
    <w:rsid w:val="34A46ADA"/>
    <w:rsid w:val="34A70330"/>
    <w:rsid w:val="34A723E9"/>
    <w:rsid w:val="34A73CB6"/>
    <w:rsid w:val="34A86EFC"/>
    <w:rsid w:val="34AA1D0B"/>
    <w:rsid w:val="34AE13F1"/>
    <w:rsid w:val="34AF406A"/>
    <w:rsid w:val="34AF6B2B"/>
    <w:rsid w:val="34B20CB9"/>
    <w:rsid w:val="34B2523D"/>
    <w:rsid w:val="34B3631E"/>
    <w:rsid w:val="34B72433"/>
    <w:rsid w:val="34BB4EBF"/>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81EBE"/>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A2F09"/>
    <w:rsid w:val="365C692E"/>
    <w:rsid w:val="365E5AB3"/>
    <w:rsid w:val="365F316F"/>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447B3"/>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A4DB3"/>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93FA0"/>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23F"/>
    <w:rsid w:val="37C83751"/>
    <w:rsid w:val="37CA282F"/>
    <w:rsid w:val="37CB1389"/>
    <w:rsid w:val="37CB3A4F"/>
    <w:rsid w:val="37CD003C"/>
    <w:rsid w:val="37D435D8"/>
    <w:rsid w:val="37D45BE3"/>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E4547"/>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7523E"/>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27D1E"/>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82472F"/>
    <w:rsid w:val="3A8700BD"/>
    <w:rsid w:val="3A870750"/>
    <w:rsid w:val="3A881F93"/>
    <w:rsid w:val="3A8A04D5"/>
    <w:rsid w:val="3A8D11CC"/>
    <w:rsid w:val="3A8F16CB"/>
    <w:rsid w:val="3A90510A"/>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D5ECE"/>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B7405"/>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435CE"/>
    <w:rsid w:val="3BF64CF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A7154"/>
    <w:rsid w:val="3D2D5705"/>
    <w:rsid w:val="3D2E57FB"/>
    <w:rsid w:val="3D310462"/>
    <w:rsid w:val="3D3256F4"/>
    <w:rsid w:val="3D344D4E"/>
    <w:rsid w:val="3D362CDD"/>
    <w:rsid w:val="3D3A74A4"/>
    <w:rsid w:val="3D3C4CF9"/>
    <w:rsid w:val="3D4206BE"/>
    <w:rsid w:val="3D433BE3"/>
    <w:rsid w:val="3D4410E3"/>
    <w:rsid w:val="3D45563E"/>
    <w:rsid w:val="3D4B622D"/>
    <w:rsid w:val="3D4F1820"/>
    <w:rsid w:val="3D505E2B"/>
    <w:rsid w:val="3D54620E"/>
    <w:rsid w:val="3D573FA9"/>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2153F"/>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10E6B"/>
    <w:rsid w:val="3DD36973"/>
    <w:rsid w:val="3DD72892"/>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07CAA"/>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EFF7E34"/>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1628F"/>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10651"/>
    <w:rsid w:val="3FA45ACD"/>
    <w:rsid w:val="3FA51106"/>
    <w:rsid w:val="3FA61856"/>
    <w:rsid w:val="3FAB5529"/>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EF426B"/>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21B95"/>
    <w:rsid w:val="4053273E"/>
    <w:rsid w:val="40586B1A"/>
    <w:rsid w:val="40592F9A"/>
    <w:rsid w:val="405C46EC"/>
    <w:rsid w:val="40645970"/>
    <w:rsid w:val="406D6CD1"/>
    <w:rsid w:val="406E640F"/>
    <w:rsid w:val="40713C95"/>
    <w:rsid w:val="40777B57"/>
    <w:rsid w:val="407B5438"/>
    <w:rsid w:val="407D7B0B"/>
    <w:rsid w:val="40872860"/>
    <w:rsid w:val="40892C3F"/>
    <w:rsid w:val="408A4409"/>
    <w:rsid w:val="408F04FF"/>
    <w:rsid w:val="4091196E"/>
    <w:rsid w:val="40933A21"/>
    <w:rsid w:val="40953B65"/>
    <w:rsid w:val="409D2F13"/>
    <w:rsid w:val="40A10E2D"/>
    <w:rsid w:val="40A34B97"/>
    <w:rsid w:val="40A50D72"/>
    <w:rsid w:val="40A62CBC"/>
    <w:rsid w:val="40A74477"/>
    <w:rsid w:val="40A75108"/>
    <w:rsid w:val="40A77581"/>
    <w:rsid w:val="40AB14CD"/>
    <w:rsid w:val="40AF577A"/>
    <w:rsid w:val="40B2039B"/>
    <w:rsid w:val="40B62E81"/>
    <w:rsid w:val="40B81B22"/>
    <w:rsid w:val="40BC7505"/>
    <w:rsid w:val="40C1207C"/>
    <w:rsid w:val="40C172AC"/>
    <w:rsid w:val="40C17E4D"/>
    <w:rsid w:val="40C46055"/>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362EE"/>
    <w:rsid w:val="415720A4"/>
    <w:rsid w:val="41572D1B"/>
    <w:rsid w:val="41581AA2"/>
    <w:rsid w:val="4159014F"/>
    <w:rsid w:val="415917F4"/>
    <w:rsid w:val="41600DD6"/>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76E0D"/>
    <w:rsid w:val="41E923F5"/>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5E95"/>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45C4E"/>
    <w:rsid w:val="42890C2F"/>
    <w:rsid w:val="428B14DB"/>
    <w:rsid w:val="428B5B04"/>
    <w:rsid w:val="42924E8D"/>
    <w:rsid w:val="42932838"/>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E62EC"/>
    <w:rsid w:val="43334F51"/>
    <w:rsid w:val="433429FE"/>
    <w:rsid w:val="4334351A"/>
    <w:rsid w:val="43353730"/>
    <w:rsid w:val="43396575"/>
    <w:rsid w:val="433B46C8"/>
    <w:rsid w:val="434C394D"/>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17A40"/>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F229C"/>
    <w:rsid w:val="44D40990"/>
    <w:rsid w:val="44D65CFD"/>
    <w:rsid w:val="44E961E2"/>
    <w:rsid w:val="44EB164C"/>
    <w:rsid w:val="44EC3FAB"/>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268AB"/>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2C4558"/>
    <w:rsid w:val="46330A6C"/>
    <w:rsid w:val="46353B16"/>
    <w:rsid w:val="46367AAC"/>
    <w:rsid w:val="46370057"/>
    <w:rsid w:val="463B1BA0"/>
    <w:rsid w:val="463B2ADE"/>
    <w:rsid w:val="46451BEB"/>
    <w:rsid w:val="4648092C"/>
    <w:rsid w:val="464B3947"/>
    <w:rsid w:val="464B754D"/>
    <w:rsid w:val="46532B01"/>
    <w:rsid w:val="46540E4D"/>
    <w:rsid w:val="46584184"/>
    <w:rsid w:val="46601858"/>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8C1330"/>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3D7"/>
    <w:rsid w:val="46F431B3"/>
    <w:rsid w:val="46F46934"/>
    <w:rsid w:val="46F602AC"/>
    <w:rsid w:val="46F628A8"/>
    <w:rsid w:val="46F65B32"/>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E1954"/>
    <w:rsid w:val="48BE3B16"/>
    <w:rsid w:val="48C3021E"/>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0288B"/>
    <w:rsid w:val="49FC5A52"/>
    <w:rsid w:val="49FC5C7C"/>
    <w:rsid w:val="49FC7FA2"/>
    <w:rsid w:val="49FE278A"/>
    <w:rsid w:val="49FE57FB"/>
    <w:rsid w:val="4A01601E"/>
    <w:rsid w:val="4A017C98"/>
    <w:rsid w:val="4A080E5C"/>
    <w:rsid w:val="4A0B352C"/>
    <w:rsid w:val="4A0C0468"/>
    <w:rsid w:val="4A0C4EB4"/>
    <w:rsid w:val="4A0D0C94"/>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80DFC"/>
    <w:rsid w:val="4C5A1877"/>
    <w:rsid w:val="4C5A1C18"/>
    <w:rsid w:val="4C6226D1"/>
    <w:rsid w:val="4C632EB2"/>
    <w:rsid w:val="4C68078E"/>
    <w:rsid w:val="4C682D54"/>
    <w:rsid w:val="4C6C00DD"/>
    <w:rsid w:val="4C6C5FB4"/>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6EF9"/>
    <w:rsid w:val="4D8808E0"/>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04957"/>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27712"/>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47D43"/>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51A6D"/>
    <w:rsid w:val="4F465945"/>
    <w:rsid w:val="4F4B1F01"/>
    <w:rsid w:val="4F4B3C13"/>
    <w:rsid w:val="4F4D5DDB"/>
    <w:rsid w:val="4F4D7D3A"/>
    <w:rsid w:val="4F515151"/>
    <w:rsid w:val="4F5A2231"/>
    <w:rsid w:val="4F5D4209"/>
    <w:rsid w:val="4F636456"/>
    <w:rsid w:val="4F645321"/>
    <w:rsid w:val="4F67312A"/>
    <w:rsid w:val="4F693441"/>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A13D7"/>
    <w:rsid w:val="508E78AC"/>
    <w:rsid w:val="50950349"/>
    <w:rsid w:val="50984F82"/>
    <w:rsid w:val="509B0639"/>
    <w:rsid w:val="50A20EE3"/>
    <w:rsid w:val="50A37037"/>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93A83"/>
    <w:rsid w:val="513B3DF9"/>
    <w:rsid w:val="513C658B"/>
    <w:rsid w:val="513F4B97"/>
    <w:rsid w:val="51401B57"/>
    <w:rsid w:val="51441568"/>
    <w:rsid w:val="5145236D"/>
    <w:rsid w:val="514576D5"/>
    <w:rsid w:val="51480A97"/>
    <w:rsid w:val="514A03E9"/>
    <w:rsid w:val="514E3CC7"/>
    <w:rsid w:val="515278BC"/>
    <w:rsid w:val="5156447F"/>
    <w:rsid w:val="515842D5"/>
    <w:rsid w:val="515934C1"/>
    <w:rsid w:val="515C4DD5"/>
    <w:rsid w:val="5160248A"/>
    <w:rsid w:val="51624BEE"/>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0F2611"/>
    <w:rsid w:val="52160B1E"/>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62CDF"/>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E12E7"/>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55FC5"/>
    <w:rsid w:val="52F965B2"/>
    <w:rsid w:val="52FB5446"/>
    <w:rsid w:val="52FE47A9"/>
    <w:rsid w:val="5305168A"/>
    <w:rsid w:val="53063DBD"/>
    <w:rsid w:val="530A4B3F"/>
    <w:rsid w:val="53172A50"/>
    <w:rsid w:val="531A397A"/>
    <w:rsid w:val="531A546B"/>
    <w:rsid w:val="531B0D04"/>
    <w:rsid w:val="531B486E"/>
    <w:rsid w:val="531C1B2E"/>
    <w:rsid w:val="532225EA"/>
    <w:rsid w:val="532274CE"/>
    <w:rsid w:val="53240747"/>
    <w:rsid w:val="532522FD"/>
    <w:rsid w:val="53275C7D"/>
    <w:rsid w:val="53293900"/>
    <w:rsid w:val="532D3BA5"/>
    <w:rsid w:val="53311BF2"/>
    <w:rsid w:val="534531B7"/>
    <w:rsid w:val="53456AB3"/>
    <w:rsid w:val="5345705F"/>
    <w:rsid w:val="534718C6"/>
    <w:rsid w:val="53496F02"/>
    <w:rsid w:val="534D106F"/>
    <w:rsid w:val="534F4759"/>
    <w:rsid w:val="5350785D"/>
    <w:rsid w:val="535136AE"/>
    <w:rsid w:val="535438C1"/>
    <w:rsid w:val="53551B7F"/>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039B"/>
    <w:rsid w:val="538E1B8B"/>
    <w:rsid w:val="538E4601"/>
    <w:rsid w:val="53916407"/>
    <w:rsid w:val="539263A1"/>
    <w:rsid w:val="53930D1A"/>
    <w:rsid w:val="5397293F"/>
    <w:rsid w:val="53975570"/>
    <w:rsid w:val="539B4140"/>
    <w:rsid w:val="539C6113"/>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35406"/>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491564"/>
    <w:rsid w:val="54514458"/>
    <w:rsid w:val="54564266"/>
    <w:rsid w:val="545C2441"/>
    <w:rsid w:val="545F158C"/>
    <w:rsid w:val="5460480E"/>
    <w:rsid w:val="54674D1D"/>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6B6"/>
    <w:rsid w:val="54E06C11"/>
    <w:rsid w:val="54E17CA8"/>
    <w:rsid w:val="54E21F4F"/>
    <w:rsid w:val="54E22A7D"/>
    <w:rsid w:val="54E57F3E"/>
    <w:rsid w:val="54E74D81"/>
    <w:rsid w:val="54E925A9"/>
    <w:rsid w:val="54E95BA4"/>
    <w:rsid w:val="54EE0FDE"/>
    <w:rsid w:val="54F83B50"/>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1B8B"/>
    <w:rsid w:val="55784732"/>
    <w:rsid w:val="55792861"/>
    <w:rsid w:val="55796E3E"/>
    <w:rsid w:val="557C6EDF"/>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16E3E"/>
    <w:rsid w:val="5602472C"/>
    <w:rsid w:val="560B1611"/>
    <w:rsid w:val="5611754A"/>
    <w:rsid w:val="56195327"/>
    <w:rsid w:val="561978EB"/>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E3DC7"/>
    <w:rsid w:val="57320543"/>
    <w:rsid w:val="57330C79"/>
    <w:rsid w:val="57356E87"/>
    <w:rsid w:val="573A01AE"/>
    <w:rsid w:val="573A1BD7"/>
    <w:rsid w:val="573B42AB"/>
    <w:rsid w:val="573C2D65"/>
    <w:rsid w:val="573D0DE5"/>
    <w:rsid w:val="57405EA8"/>
    <w:rsid w:val="57451AF1"/>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20F7F"/>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C10E7"/>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15447"/>
    <w:rsid w:val="58B238F2"/>
    <w:rsid w:val="58B35066"/>
    <w:rsid w:val="58B71C61"/>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13AF"/>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6749B"/>
    <w:rsid w:val="5A2718A2"/>
    <w:rsid w:val="5A2F2E3C"/>
    <w:rsid w:val="5A2F36F8"/>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B0994"/>
    <w:rsid w:val="5BEB711B"/>
    <w:rsid w:val="5BF069A9"/>
    <w:rsid w:val="5BF2577B"/>
    <w:rsid w:val="5BFF68A2"/>
    <w:rsid w:val="5C010EEF"/>
    <w:rsid w:val="5C062C85"/>
    <w:rsid w:val="5C0D1FAC"/>
    <w:rsid w:val="5C0D3C7C"/>
    <w:rsid w:val="5C0F3C27"/>
    <w:rsid w:val="5C110CAC"/>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60120B"/>
    <w:rsid w:val="5C63455C"/>
    <w:rsid w:val="5C635952"/>
    <w:rsid w:val="5C663F53"/>
    <w:rsid w:val="5C6652E6"/>
    <w:rsid w:val="5C690B0C"/>
    <w:rsid w:val="5C6A39B4"/>
    <w:rsid w:val="5C7103F1"/>
    <w:rsid w:val="5C712199"/>
    <w:rsid w:val="5C7215A0"/>
    <w:rsid w:val="5C73277D"/>
    <w:rsid w:val="5C7902CA"/>
    <w:rsid w:val="5C7C5E2E"/>
    <w:rsid w:val="5C884129"/>
    <w:rsid w:val="5C8D72C6"/>
    <w:rsid w:val="5C8E4677"/>
    <w:rsid w:val="5C8E4D46"/>
    <w:rsid w:val="5C911EB8"/>
    <w:rsid w:val="5C931E8B"/>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53D56"/>
    <w:rsid w:val="5CCA2082"/>
    <w:rsid w:val="5CCE39C9"/>
    <w:rsid w:val="5CD228A4"/>
    <w:rsid w:val="5CD274FA"/>
    <w:rsid w:val="5CD43D55"/>
    <w:rsid w:val="5CD51613"/>
    <w:rsid w:val="5CD51A0B"/>
    <w:rsid w:val="5CD60FB2"/>
    <w:rsid w:val="5CD64B8F"/>
    <w:rsid w:val="5CD73EA1"/>
    <w:rsid w:val="5CD9009B"/>
    <w:rsid w:val="5CDD4918"/>
    <w:rsid w:val="5CE35510"/>
    <w:rsid w:val="5CE4012F"/>
    <w:rsid w:val="5CE87597"/>
    <w:rsid w:val="5CEA0714"/>
    <w:rsid w:val="5CEC5FF7"/>
    <w:rsid w:val="5CF05FF8"/>
    <w:rsid w:val="5CF61D7D"/>
    <w:rsid w:val="5CFA0127"/>
    <w:rsid w:val="5CFD212D"/>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4F7E0F"/>
    <w:rsid w:val="5D513F7F"/>
    <w:rsid w:val="5D545032"/>
    <w:rsid w:val="5D637C85"/>
    <w:rsid w:val="5D680387"/>
    <w:rsid w:val="5D6D1BE9"/>
    <w:rsid w:val="5D6D5C66"/>
    <w:rsid w:val="5D7206A1"/>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42582"/>
    <w:rsid w:val="5F3C6F75"/>
    <w:rsid w:val="5F403104"/>
    <w:rsid w:val="5F415D9D"/>
    <w:rsid w:val="5F423955"/>
    <w:rsid w:val="5F453FEF"/>
    <w:rsid w:val="5F4744F9"/>
    <w:rsid w:val="5F5111A7"/>
    <w:rsid w:val="5F513787"/>
    <w:rsid w:val="5F514A63"/>
    <w:rsid w:val="5F542C2D"/>
    <w:rsid w:val="5F5B4D0C"/>
    <w:rsid w:val="5F5D2245"/>
    <w:rsid w:val="5F5F4C16"/>
    <w:rsid w:val="5F634959"/>
    <w:rsid w:val="5F657EAE"/>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E08EC"/>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1134A"/>
    <w:rsid w:val="60565B3E"/>
    <w:rsid w:val="605E7523"/>
    <w:rsid w:val="605F164B"/>
    <w:rsid w:val="60682124"/>
    <w:rsid w:val="606A3E56"/>
    <w:rsid w:val="606B1CB6"/>
    <w:rsid w:val="6073189D"/>
    <w:rsid w:val="60736A2F"/>
    <w:rsid w:val="607443D2"/>
    <w:rsid w:val="6075702F"/>
    <w:rsid w:val="60763370"/>
    <w:rsid w:val="60792BB0"/>
    <w:rsid w:val="607A48AD"/>
    <w:rsid w:val="607C7237"/>
    <w:rsid w:val="607C742A"/>
    <w:rsid w:val="607D0570"/>
    <w:rsid w:val="60801EB9"/>
    <w:rsid w:val="60836310"/>
    <w:rsid w:val="60884273"/>
    <w:rsid w:val="60886E7B"/>
    <w:rsid w:val="60894587"/>
    <w:rsid w:val="608A3E41"/>
    <w:rsid w:val="608B6649"/>
    <w:rsid w:val="60913BAC"/>
    <w:rsid w:val="6094775D"/>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B6EB8"/>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66F3C"/>
    <w:rsid w:val="617C37F4"/>
    <w:rsid w:val="617E6243"/>
    <w:rsid w:val="617F6860"/>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273CC"/>
    <w:rsid w:val="62E76DF3"/>
    <w:rsid w:val="62EA49E1"/>
    <w:rsid w:val="62EA5C2C"/>
    <w:rsid w:val="62ED526B"/>
    <w:rsid w:val="62F10D0D"/>
    <w:rsid w:val="62F147BA"/>
    <w:rsid w:val="62F3392D"/>
    <w:rsid w:val="62F4274A"/>
    <w:rsid w:val="62F654CF"/>
    <w:rsid w:val="62F838A3"/>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3F2D0D"/>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42E70"/>
    <w:rsid w:val="64753628"/>
    <w:rsid w:val="64780C1F"/>
    <w:rsid w:val="647B62E5"/>
    <w:rsid w:val="647C4DDA"/>
    <w:rsid w:val="647F7F95"/>
    <w:rsid w:val="648230FE"/>
    <w:rsid w:val="64844B8F"/>
    <w:rsid w:val="6485021D"/>
    <w:rsid w:val="64880EB3"/>
    <w:rsid w:val="64897D48"/>
    <w:rsid w:val="648B5C8D"/>
    <w:rsid w:val="648C64E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234E3"/>
    <w:rsid w:val="65442614"/>
    <w:rsid w:val="65483234"/>
    <w:rsid w:val="65496ABD"/>
    <w:rsid w:val="654C1758"/>
    <w:rsid w:val="65533342"/>
    <w:rsid w:val="655A3450"/>
    <w:rsid w:val="655B2CF8"/>
    <w:rsid w:val="655E4E68"/>
    <w:rsid w:val="655E5BA3"/>
    <w:rsid w:val="655E67CA"/>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56DA1"/>
    <w:rsid w:val="66E8129F"/>
    <w:rsid w:val="66E85249"/>
    <w:rsid w:val="66EB12C4"/>
    <w:rsid w:val="66F14286"/>
    <w:rsid w:val="66F43AE9"/>
    <w:rsid w:val="66FD3BFA"/>
    <w:rsid w:val="66FF75FB"/>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57457"/>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463EC"/>
    <w:rsid w:val="6787737A"/>
    <w:rsid w:val="678B243A"/>
    <w:rsid w:val="67906049"/>
    <w:rsid w:val="67997FFC"/>
    <w:rsid w:val="679B4BE7"/>
    <w:rsid w:val="67B0143C"/>
    <w:rsid w:val="67B101FC"/>
    <w:rsid w:val="67B12426"/>
    <w:rsid w:val="67B270D1"/>
    <w:rsid w:val="67B33DF3"/>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7FC4BC9"/>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B5DF7"/>
    <w:rsid w:val="683C53DC"/>
    <w:rsid w:val="683E2A58"/>
    <w:rsid w:val="683E36C2"/>
    <w:rsid w:val="68430152"/>
    <w:rsid w:val="6845509D"/>
    <w:rsid w:val="68455B9B"/>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54A07"/>
    <w:rsid w:val="68E600E0"/>
    <w:rsid w:val="68E71836"/>
    <w:rsid w:val="68EA7CB9"/>
    <w:rsid w:val="68F01EB8"/>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C2115"/>
    <w:rsid w:val="699D3B8F"/>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86274"/>
    <w:rsid w:val="69F93223"/>
    <w:rsid w:val="69FF1B34"/>
    <w:rsid w:val="6A0B37DB"/>
    <w:rsid w:val="6A11122C"/>
    <w:rsid w:val="6A145E00"/>
    <w:rsid w:val="6A177B05"/>
    <w:rsid w:val="6A193D7A"/>
    <w:rsid w:val="6A1C022B"/>
    <w:rsid w:val="6A203B95"/>
    <w:rsid w:val="6A221A16"/>
    <w:rsid w:val="6A257487"/>
    <w:rsid w:val="6A276108"/>
    <w:rsid w:val="6A292BE4"/>
    <w:rsid w:val="6A2A4ADC"/>
    <w:rsid w:val="6A2A5F02"/>
    <w:rsid w:val="6A2A61CB"/>
    <w:rsid w:val="6A2F3F03"/>
    <w:rsid w:val="6A304FBD"/>
    <w:rsid w:val="6A3465B9"/>
    <w:rsid w:val="6A3671C9"/>
    <w:rsid w:val="6A3832AF"/>
    <w:rsid w:val="6A392C51"/>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56F68"/>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4767B"/>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C626D"/>
    <w:rsid w:val="6B3E29D6"/>
    <w:rsid w:val="6B434E08"/>
    <w:rsid w:val="6B442C48"/>
    <w:rsid w:val="6B463928"/>
    <w:rsid w:val="6B4724E0"/>
    <w:rsid w:val="6B480BCD"/>
    <w:rsid w:val="6B484B34"/>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C563B"/>
    <w:rsid w:val="6BBE196F"/>
    <w:rsid w:val="6BC31271"/>
    <w:rsid w:val="6BC34CA3"/>
    <w:rsid w:val="6BDE7A16"/>
    <w:rsid w:val="6BE0639E"/>
    <w:rsid w:val="6BE16DC9"/>
    <w:rsid w:val="6BE444FA"/>
    <w:rsid w:val="6BE86B58"/>
    <w:rsid w:val="6BEC66EE"/>
    <w:rsid w:val="6BF07EAA"/>
    <w:rsid w:val="6BF14A0C"/>
    <w:rsid w:val="6BF20FB8"/>
    <w:rsid w:val="6BF24619"/>
    <w:rsid w:val="6BF24AF7"/>
    <w:rsid w:val="6BF85D43"/>
    <w:rsid w:val="6BFE4BB6"/>
    <w:rsid w:val="6C0045B3"/>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2762"/>
    <w:rsid w:val="6C6649B7"/>
    <w:rsid w:val="6C737A47"/>
    <w:rsid w:val="6C7E492F"/>
    <w:rsid w:val="6C814DA2"/>
    <w:rsid w:val="6C854DD4"/>
    <w:rsid w:val="6C8846F8"/>
    <w:rsid w:val="6C88786E"/>
    <w:rsid w:val="6C8C360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6081A"/>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845F8"/>
    <w:rsid w:val="6DBA2144"/>
    <w:rsid w:val="6DBE7C28"/>
    <w:rsid w:val="6DC24B1B"/>
    <w:rsid w:val="6DC616C6"/>
    <w:rsid w:val="6DC822B5"/>
    <w:rsid w:val="6DC869CE"/>
    <w:rsid w:val="6DCA662C"/>
    <w:rsid w:val="6DCB0323"/>
    <w:rsid w:val="6DCF2EC8"/>
    <w:rsid w:val="6DD06258"/>
    <w:rsid w:val="6DD14EEB"/>
    <w:rsid w:val="6DD20493"/>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5E77EE"/>
    <w:rsid w:val="6E60101C"/>
    <w:rsid w:val="6E691B5F"/>
    <w:rsid w:val="6E69641A"/>
    <w:rsid w:val="6E6B1B2A"/>
    <w:rsid w:val="6E6C3079"/>
    <w:rsid w:val="6E6D7B97"/>
    <w:rsid w:val="6E6E2208"/>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468A"/>
    <w:rsid w:val="6ED6762F"/>
    <w:rsid w:val="6EDA6752"/>
    <w:rsid w:val="6EDD21B2"/>
    <w:rsid w:val="6EDD39E6"/>
    <w:rsid w:val="6EE22762"/>
    <w:rsid w:val="6EE5235C"/>
    <w:rsid w:val="6EE649B1"/>
    <w:rsid w:val="6EEB5DEB"/>
    <w:rsid w:val="6EEC616C"/>
    <w:rsid w:val="6EED5A95"/>
    <w:rsid w:val="6EEE711D"/>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17B98"/>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7F552C"/>
    <w:rsid w:val="6F812543"/>
    <w:rsid w:val="6F9305E3"/>
    <w:rsid w:val="6F936F54"/>
    <w:rsid w:val="6F941FB9"/>
    <w:rsid w:val="6F971808"/>
    <w:rsid w:val="6F9A0699"/>
    <w:rsid w:val="6F9A7B32"/>
    <w:rsid w:val="6F9D3971"/>
    <w:rsid w:val="6FA744AF"/>
    <w:rsid w:val="6FA815B5"/>
    <w:rsid w:val="6FAD41E5"/>
    <w:rsid w:val="6FBA7AB0"/>
    <w:rsid w:val="6FBC4B72"/>
    <w:rsid w:val="6FC10DD5"/>
    <w:rsid w:val="6FCA0E5B"/>
    <w:rsid w:val="6FCC2952"/>
    <w:rsid w:val="6FCD42BD"/>
    <w:rsid w:val="6FD25F63"/>
    <w:rsid w:val="6FD44CA7"/>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5F35"/>
    <w:rsid w:val="71D27954"/>
    <w:rsid w:val="71D32518"/>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A4324"/>
    <w:rsid w:val="72522723"/>
    <w:rsid w:val="725340BD"/>
    <w:rsid w:val="72542A36"/>
    <w:rsid w:val="72555383"/>
    <w:rsid w:val="725676AC"/>
    <w:rsid w:val="725D1C13"/>
    <w:rsid w:val="72603ACC"/>
    <w:rsid w:val="726048F1"/>
    <w:rsid w:val="7264705B"/>
    <w:rsid w:val="726843AE"/>
    <w:rsid w:val="726B5B23"/>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BE373C"/>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77281"/>
    <w:rsid w:val="730B0185"/>
    <w:rsid w:val="730B2912"/>
    <w:rsid w:val="730C0128"/>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34D24"/>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43A53"/>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D4F08"/>
    <w:rsid w:val="74BE4A53"/>
    <w:rsid w:val="74C440A9"/>
    <w:rsid w:val="74C555D9"/>
    <w:rsid w:val="74CA6EF9"/>
    <w:rsid w:val="74CB4839"/>
    <w:rsid w:val="74CC2AFC"/>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1C59"/>
    <w:rsid w:val="76932345"/>
    <w:rsid w:val="76947C92"/>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23C35"/>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3FEC"/>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13DFF"/>
    <w:rsid w:val="7B621F63"/>
    <w:rsid w:val="7B624E46"/>
    <w:rsid w:val="7B65732C"/>
    <w:rsid w:val="7B666080"/>
    <w:rsid w:val="7B72367F"/>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51E23"/>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70AA"/>
    <w:rsid w:val="7CD215D3"/>
    <w:rsid w:val="7CD258A4"/>
    <w:rsid w:val="7CD31C3B"/>
    <w:rsid w:val="7CD60EFF"/>
    <w:rsid w:val="7CD853D0"/>
    <w:rsid w:val="7CDD2005"/>
    <w:rsid w:val="7CE12241"/>
    <w:rsid w:val="7CE279E8"/>
    <w:rsid w:val="7CE54C48"/>
    <w:rsid w:val="7CE71C50"/>
    <w:rsid w:val="7CE72B24"/>
    <w:rsid w:val="7CE8695A"/>
    <w:rsid w:val="7CEF038B"/>
    <w:rsid w:val="7CF82FD7"/>
    <w:rsid w:val="7CF97B72"/>
    <w:rsid w:val="7D003EBD"/>
    <w:rsid w:val="7D05361D"/>
    <w:rsid w:val="7D062AC2"/>
    <w:rsid w:val="7D0F099F"/>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35AD2"/>
    <w:rsid w:val="7D6420DE"/>
    <w:rsid w:val="7D647CF1"/>
    <w:rsid w:val="7D693A8F"/>
    <w:rsid w:val="7D6A64FB"/>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4752C"/>
    <w:rsid w:val="7DC55AE8"/>
    <w:rsid w:val="7DC932A8"/>
    <w:rsid w:val="7DCB15B2"/>
    <w:rsid w:val="7DD100AB"/>
    <w:rsid w:val="7DD370F6"/>
    <w:rsid w:val="7DD563EE"/>
    <w:rsid w:val="7DD70066"/>
    <w:rsid w:val="7DD85DBE"/>
    <w:rsid w:val="7DDA4118"/>
    <w:rsid w:val="7DDE0133"/>
    <w:rsid w:val="7DDF7EB7"/>
    <w:rsid w:val="7DE03708"/>
    <w:rsid w:val="7DE12F5B"/>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20169A"/>
    <w:rsid w:val="7E274023"/>
    <w:rsid w:val="7E2B327F"/>
    <w:rsid w:val="7E2D5152"/>
    <w:rsid w:val="7E3118B9"/>
    <w:rsid w:val="7E34721A"/>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C2CB5"/>
    <w:rsid w:val="7E4E1A75"/>
    <w:rsid w:val="7E517747"/>
    <w:rsid w:val="7E530176"/>
    <w:rsid w:val="7E572DD3"/>
    <w:rsid w:val="7E5E3322"/>
    <w:rsid w:val="7E620822"/>
    <w:rsid w:val="7E621162"/>
    <w:rsid w:val="7E621E6B"/>
    <w:rsid w:val="7E652ACF"/>
    <w:rsid w:val="7E6D71D1"/>
    <w:rsid w:val="7E7437F7"/>
    <w:rsid w:val="7E791FB3"/>
    <w:rsid w:val="7E7A323C"/>
    <w:rsid w:val="7E7C66B1"/>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454A70"/>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812CE"/>
    <w:rsid w:val="7F69519A"/>
    <w:rsid w:val="7F70218A"/>
    <w:rsid w:val="7F7514A2"/>
    <w:rsid w:val="7F791502"/>
    <w:rsid w:val="7F7D592C"/>
    <w:rsid w:val="7F7E6CD6"/>
    <w:rsid w:val="7F805AC3"/>
    <w:rsid w:val="7F8649A9"/>
    <w:rsid w:val="7F867E2A"/>
    <w:rsid w:val="7F873895"/>
    <w:rsid w:val="7F891D26"/>
    <w:rsid w:val="7F8A16A6"/>
    <w:rsid w:val="7F8B2886"/>
    <w:rsid w:val="7F8B5253"/>
    <w:rsid w:val="7F8C3259"/>
    <w:rsid w:val="7F8D77FC"/>
    <w:rsid w:val="7F913931"/>
    <w:rsid w:val="7F915207"/>
    <w:rsid w:val="7F9207C2"/>
    <w:rsid w:val="7F960E9D"/>
    <w:rsid w:val="7F98284E"/>
    <w:rsid w:val="7F9B0314"/>
    <w:rsid w:val="7F9D20A5"/>
    <w:rsid w:val="7F9E22BE"/>
    <w:rsid w:val="7F9E68C5"/>
    <w:rsid w:val="7F9F1E71"/>
    <w:rsid w:val="7F9F3CC1"/>
    <w:rsid w:val="7FA54FB8"/>
    <w:rsid w:val="7FA73562"/>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Heading 1 Char"/>
    <w:link w:val="2"/>
    <w:qFormat/>
    <w:uiPriority w:val="99"/>
    <w:rPr>
      <w:rFonts w:ascii="Arial" w:hAnsi="Arial" w:eastAsia="黑体"/>
      <w:b/>
      <w:bCs/>
      <w:sz w:val="30"/>
      <w:szCs w:val="30"/>
      <w:lang w:val="zh-CN" w:eastAsia="zh-CN"/>
    </w:rPr>
  </w:style>
  <w:style w:type="character" w:customStyle="1" w:styleId="36">
    <w:name w:val="Header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Comment Text Char"/>
    <w:basedOn w:val="29"/>
    <w:link w:val="15"/>
    <w:qFormat/>
    <w:uiPriority w:val="99"/>
  </w:style>
  <w:style w:type="character" w:customStyle="1" w:styleId="39">
    <w:name w:val="Comment Subject Char"/>
    <w:link w:val="26"/>
    <w:semiHidden/>
    <w:qFormat/>
    <w:uiPriority w:val="99"/>
    <w:rPr>
      <w:b/>
      <w:bCs/>
    </w:rPr>
  </w:style>
  <w:style w:type="character" w:customStyle="1" w:styleId="40">
    <w:name w:val="Balloon Text Char"/>
    <w:link w:val="21"/>
    <w:semiHidden/>
    <w:qFormat/>
    <w:uiPriority w:val="99"/>
    <w:rPr>
      <w:rFonts w:ascii="Tahoma" w:hAnsi="Tahoma" w:cs="Tahoma"/>
      <w:sz w:val="16"/>
      <w:szCs w:val="16"/>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50A5B-5A3C-4C6E-AD28-E5E0C3428BB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3287</Words>
  <Characters>18740</Characters>
  <Lines>156</Lines>
  <Paragraphs>43</Paragraphs>
  <TotalTime>0</TotalTime>
  <ScaleCrop>false</ScaleCrop>
  <LinksUpToDate>false</LinksUpToDate>
  <CharactersWithSpaces>21984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2022-09-29T06:27:00Z</dcterms:created>
  <dc:creator>ZTE</dc:creator>
  <cp:lastModifiedBy>ZTE</cp:lastModifiedBy>
  <dcterms:modified xsi:type="dcterms:W3CDTF">2022-09-30T09:05:46Z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